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3A0A6" w14:textId="338A7126" w:rsidR="00A051DB" w:rsidRDefault="008D76C3">
      <w:pPr>
        <w:pStyle w:val="Header"/>
        <w:tabs>
          <w:tab w:val="right" w:pos="5954"/>
        </w:tabs>
        <w:spacing w:after="240"/>
        <w:jc w:val="right"/>
        <w:rPr>
          <w:rFonts w:ascii="Calibri" w:hAnsi="Calibri"/>
        </w:rPr>
      </w:pPr>
      <w:r>
        <w:rPr>
          <w:rFonts w:ascii="Calibri" w:hAnsi="Calibri"/>
        </w:rPr>
        <w:t xml:space="preserve">Input paper: </w:t>
      </w:r>
      <w:r>
        <w:rPr>
          <w:rStyle w:val="FootnoteReference"/>
          <w:rFonts w:ascii="Calibri" w:hAnsi="Calibri"/>
          <w:vertAlign w:val="superscript"/>
        </w:rPr>
        <w:footnoteReference w:id="1"/>
      </w:r>
      <w:r>
        <w:rPr>
          <w:rFonts w:ascii="Calibri" w:hAnsi="Calibri"/>
        </w:rPr>
        <w:t xml:space="preserve">  ENG16-</w:t>
      </w:r>
      <w:r w:rsidR="00A26AB4" w:rsidRPr="00A26AB4">
        <w:t xml:space="preserve"> </w:t>
      </w:r>
      <w:r w:rsidR="00A26AB4" w:rsidRPr="00A26AB4">
        <w:rPr>
          <w:rFonts w:ascii="Calibri" w:hAnsi="Calibri"/>
          <w:lang w:eastAsia="zh-CN"/>
        </w:rPr>
        <w:t>3.1.3.6</w:t>
      </w:r>
    </w:p>
    <w:p w14:paraId="2286C3D1" w14:textId="77777777" w:rsidR="00A051DB" w:rsidRDefault="00A051DB">
      <w:pPr>
        <w:pStyle w:val="BodyText"/>
        <w:tabs>
          <w:tab w:val="left" w:pos="2835"/>
        </w:tabs>
        <w:rPr>
          <w:rFonts w:ascii="Calibri" w:hAnsi="Calibri"/>
        </w:rPr>
      </w:pPr>
    </w:p>
    <w:p w14:paraId="2712F5A7" w14:textId="053530DD" w:rsidR="00A051DB" w:rsidRDefault="008D76C3">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sidR="00543265">
        <w:rPr>
          <w:rFonts w:ascii="Calibri" w:hAnsi="Calibri"/>
          <w:sz w:val="18"/>
          <w:szCs w:val="18"/>
        </w:rPr>
        <w:t xml:space="preserve">    </w:t>
      </w:r>
      <w:r>
        <w:rPr>
          <w:rFonts w:ascii="Calibri" w:hAnsi="Calibri"/>
        </w:rPr>
        <w:t>Purpose of paper:</w:t>
      </w:r>
    </w:p>
    <w:p w14:paraId="1D66E182" w14:textId="1D58A153" w:rsidR="00A051DB" w:rsidRDefault="008D76C3">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sym w:font="Wingdings" w:char="F0FE"/>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543265">
        <w:rPr>
          <w:rFonts w:ascii="Calibri" w:hAnsi="Calibri" w:cs="Arial"/>
          <w:sz w:val="24"/>
          <w:szCs w:val="24"/>
        </w:rPr>
        <w:t xml:space="preserve">   </w:t>
      </w:r>
      <w:r>
        <w:rPr>
          <w:rFonts w:ascii="Calibri" w:hAnsi="Calibri" w:cs="Arial"/>
          <w:b/>
          <w:sz w:val="24"/>
          <w:szCs w:val="24"/>
        </w:rPr>
        <w:sym w:font="Wingdings" w:char="F0FE"/>
      </w:r>
      <w:r>
        <w:rPr>
          <w:rFonts w:ascii="Calibri" w:hAnsi="Calibri" w:cs="Arial"/>
          <w:sz w:val="24"/>
          <w:szCs w:val="24"/>
        </w:rPr>
        <w:t xml:space="preserve">  Input</w:t>
      </w:r>
    </w:p>
    <w:p w14:paraId="0EE609E7" w14:textId="516C7817" w:rsidR="00A051DB" w:rsidRDefault="008D76C3">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543265">
        <w:rPr>
          <w:rFonts w:ascii="Calibri" w:hAnsi="Calibri" w:cs="Arial"/>
          <w:sz w:val="24"/>
          <w:szCs w:val="24"/>
        </w:rPr>
        <w:t xml:space="preserve">   </w:t>
      </w:r>
      <w:r>
        <w:rPr>
          <w:rFonts w:ascii="Calibri" w:hAnsi="Calibri" w:cs="Arial"/>
          <w:b/>
          <w:sz w:val="24"/>
          <w:szCs w:val="24"/>
        </w:rPr>
        <w:t>□</w:t>
      </w:r>
      <w:r>
        <w:rPr>
          <w:rFonts w:ascii="Calibri" w:hAnsi="Calibri" w:cs="Arial"/>
          <w:sz w:val="24"/>
          <w:szCs w:val="24"/>
        </w:rPr>
        <w:t xml:space="preserve"> Information</w:t>
      </w:r>
    </w:p>
    <w:p w14:paraId="2A1695F2" w14:textId="77777777" w:rsidR="00A051DB" w:rsidRDefault="00A051DB">
      <w:pPr>
        <w:pStyle w:val="BodyText"/>
        <w:tabs>
          <w:tab w:val="left" w:pos="2835"/>
        </w:tabs>
        <w:rPr>
          <w:rFonts w:ascii="Calibri" w:hAnsi="Calibri"/>
        </w:rPr>
      </w:pPr>
    </w:p>
    <w:p w14:paraId="3F833324" w14:textId="7FCFEECD" w:rsidR="00A051DB" w:rsidRDefault="008D76C3">
      <w:pPr>
        <w:pStyle w:val="BodyText"/>
        <w:tabs>
          <w:tab w:val="left" w:pos="2835"/>
        </w:tabs>
        <w:rPr>
          <w:rFonts w:ascii="Calibri" w:hAnsi="Calibri"/>
        </w:rPr>
      </w:pPr>
      <w:r>
        <w:rPr>
          <w:rFonts w:ascii="Calibri" w:hAnsi="Calibri"/>
        </w:rPr>
        <w:t xml:space="preserve">Agenda item </w:t>
      </w:r>
      <w:r>
        <w:rPr>
          <w:rStyle w:val="FootnoteReference"/>
          <w:rFonts w:ascii="Calibri" w:hAnsi="Calibri"/>
          <w:vertAlign w:val="superscript"/>
        </w:rPr>
        <w:footnoteReference w:id="2"/>
      </w:r>
      <w:r>
        <w:rPr>
          <w:rFonts w:ascii="Calibri" w:hAnsi="Calibri"/>
        </w:rPr>
        <w:tab/>
      </w:r>
      <w:r>
        <w:rPr>
          <w:rFonts w:ascii="Calibri" w:hAnsi="Calibri"/>
        </w:rPr>
        <w:tab/>
      </w:r>
      <w:r>
        <w:rPr>
          <w:rFonts w:ascii="Calibri" w:hAnsi="Calibri"/>
        </w:rPr>
        <w:tab/>
        <w:t xml:space="preserve"> 3.1</w:t>
      </w:r>
    </w:p>
    <w:p w14:paraId="274DB7D5" w14:textId="77777777" w:rsidR="00A051DB" w:rsidRDefault="008D76C3">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WG3</w:t>
      </w:r>
    </w:p>
    <w:p w14:paraId="6B92325B" w14:textId="2157EEF2" w:rsidR="00A051DB" w:rsidRDefault="008D76C3">
      <w:pPr>
        <w:pStyle w:val="BodyText"/>
        <w:tabs>
          <w:tab w:val="left" w:pos="2614"/>
        </w:tabs>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w:t>
      </w:r>
      <w:r w:rsidR="00A7649C">
        <w:rPr>
          <w:rFonts w:ascii="Calibri" w:hAnsi="Calibri"/>
          <w:lang w:eastAsia="zh-CN"/>
        </w:rPr>
        <w:t>HINA</w:t>
      </w:r>
      <w:r>
        <w:rPr>
          <w:rFonts w:ascii="Calibri" w:hAnsi="Calibri"/>
        </w:rPr>
        <w:t xml:space="preserve"> </w:t>
      </w:r>
      <w:r>
        <w:rPr>
          <w:rFonts w:ascii="Calibri" w:hAnsi="Calibri" w:hint="eastAsia"/>
          <w:lang w:eastAsia="zh-CN"/>
        </w:rPr>
        <w:t>MSA</w:t>
      </w:r>
    </w:p>
    <w:p w14:paraId="62A2ADF0" w14:textId="77777777" w:rsidR="00A051DB" w:rsidRDefault="00A051DB">
      <w:pPr>
        <w:pStyle w:val="BodyText"/>
        <w:tabs>
          <w:tab w:val="left" w:pos="2835"/>
        </w:tabs>
        <w:rPr>
          <w:rFonts w:ascii="Calibri" w:hAnsi="Calibri"/>
        </w:rPr>
      </w:pPr>
    </w:p>
    <w:p w14:paraId="15F7CB26" w14:textId="77777777" w:rsidR="00A051DB" w:rsidRDefault="008D76C3">
      <w:pPr>
        <w:pStyle w:val="Title"/>
        <w:rPr>
          <w:rFonts w:ascii="Calibri" w:hAnsi="Calibri"/>
          <w:color w:val="0070C0"/>
        </w:rPr>
      </w:pPr>
      <w:r>
        <w:rPr>
          <w:rFonts w:ascii="Calibri" w:hAnsi="Calibri"/>
          <w:color w:val="0070C0"/>
        </w:rPr>
        <w:t>Introduction of BDS PPP Service</w:t>
      </w:r>
    </w:p>
    <w:p w14:paraId="5E39270D" w14:textId="77777777" w:rsidR="00A051DB" w:rsidRDefault="008D76C3">
      <w:pPr>
        <w:pStyle w:val="Heading1"/>
      </w:pPr>
      <w:r>
        <w:t>Summary</w:t>
      </w:r>
    </w:p>
    <w:p w14:paraId="519C0B0B" w14:textId="14075DF5" w:rsidR="00A051DB" w:rsidRDefault="008D76C3">
      <w:pPr>
        <w:pStyle w:val="BodyText"/>
        <w:rPr>
          <w:rFonts w:ascii="Calibri" w:hAnsi="Calibri"/>
        </w:rPr>
      </w:pPr>
      <w:r>
        <w:rPr>
          <w:rFonts w:ascii="Calibri" w:hAnsi="Calibri"/>
          <w:lang w:eastAsia="zh-CN"/>
        </w:rPr>
        <w:t>G1127(Edition2.</w:t>
      </w:r>
      <w:proofErr w:type="gramStart"/>
      <w:r>
        <w:rPr>
          <w:rFonts w:ascii="Calibri" w:hAnsi="Calibri"/>
          <w:lang w:eastAsia="zh-CN"/>
        </w:rPr>
        <w:t>0)provides</w:t>
      </w:r>
      <w:proofErr w:type="gramEnd"/>
      <w:r>
        <w:rPr>
          <w:rFonts w:ascii="Calibri" w:hAnsi="Calibri"/>
          <w:lang w:eastAsia="zh-CN"/>
        </w:rPr>
        <w:t xml:space="preserve"> an overview of systems and services enabling high-accuracy positioning or ranging in specific areas such as waterways, traffic separation schemes, traffic zones with limited manoeuvring space, ports and harbours, and congested wat</w:t>
      </w:r>
      <w:r>
        <w:rPr>
          <w:rFonts w:ascii="Calibri" w:hAnsi="Calibri"/>
          <w:lang w:eastAsia="zh-CN"/>
        </w:rPr>
        <w:t xml:space="preserve">ers, with increased risks of collisions or groundings. </w:t>
      </w:r>
      <w:r>
        <w:rPr>
          <w:rFonts w:ascii="Calibri" w:hAnsi="Calibri" w:hint="eastAsia"/>
          <w:lang w:eastAsia="zh-CN"/>
        </w:rPr>
        <w:t>Pr</w:t>
      </w:r>
      <w:r>
        <w:rPr>
          <w:rFonts w:ascii="Calibri" w:hAnsi="Calibri"/>
          <w:lang w:eastAsia="zh-CN"/>
        </w:rPr>
        <w:t>ecise point positioning (PPP) is an important technology for achieving wide area high-precision positioning for a satellite navigation system because of its wide signal coverage, uniform accuracy dis</w:t>
      </w:r>
      <w:r>
        <w:rPr>
          <w:rFonts w:ascii="Calibri" w:hAnsi="Calibri"/>
          <w:lang w:eastAsia="zh-CN"/>
        </w:rPr>
        <w:t>tribution, and small number of ground reference monitoring stations.</w:t>
      </w:r>
      <w:r>
        <w:t xml:space="preserve"> </w:t>
      </w:r>
      <w:proofErr w:type="spellStart"/>
      <w:r>
        <w:rPr>
          <w:rFonts w:ascii="Calibri" w:hAnsi="Calibri"/>
          <w:lang w:eastAsia="zh-CN"/>
        </w:rPr>
        <w:t>BeiDou</w:t>
      </w:r>
      <w:proofErr w:type="spellEnd"/>
      <w:r>
        <w:rPr>
          <w:rFonts w:ascii="Calibri" w:hAnsi="Calibri"/>
          <w:lang w:eastAsia="zh-CN"/>
        </w:rPr>
        <w:t xml:space="preserve"> Navigation Satellite System (BDS)</w:t>
      </w:r>
      <w:r>
        <w:rPr>
          <w:rFonts w:ascii="Calibri" w:hAnsi="Calibri"/>
        </w:rPr>
        <w:t xml:space="preserve"> Precise Point Positioning (PPP) service is provided through the PPP-B2b signal broadcast by the three GEO satellites in the </w:t>
      </w:r>
      <w:r>
        <w:rPr>
          <w:rFonts w:ascii="Calibri" w:hAnsi="Calibri"/>
          <w:lang w:eastAsia="zh-CN"/>
        </w:rPr>
        <w:t>BDS</w:t>
      </w:r>
      <w:r>
        <w:rPr>
          <w:rFonts w:ascii="Calibri" w:hAnsi="Calibri"/>
        </w:rPr>
        <w:t>-3 nominal constell</w:t>
      </w:r>
      <w:r>
        <w:rPr>
          <w:rFonts w:ascii="Calibri" w:hAnsi="Calibri"/>
        </w:rPr>
        <w:t xml:space="preserve">ation. Users can achieve high-precision positioning through this service. </w:t>
      </w:r>
    </w:p>
    <w:p w14:paraId="6A607F5B" w14:textId="77777777" w:rsidR="00A051DB" w:rsidRDefault="008D76C3">
      <w:pPr>
        <w:pStyle w:val="Heading2"/>
      </w:pPr>
      <w:r>
        <w:t>Purpose of the document</w:t>
      </w:r>
    </w:p>
    <w:p w14:paraId="1302C883" w14:textId="77777777" w:rsidR="00A051DB" w:rsidRDefault="008D76C3">
      <w:pPr>
        <w:pStyle w:val="BodyText"/>
        <w:rPr>
          <w:rFonts w:ascii="Calibri" w:hAnsi="Calibri"/>
        </w:rPr>
      </w:pPr>
      <w:r>
        <w:rPr>
          <w:rFonts w:ascii="Calibri" w:hAnsi="Calibri"/>
        </w:rPr>
        <w:t xml:space="preserve">The purpose of the document is providing information for the Committee to review and consider the applications of BDS PPP service </w:t>
      </w:r>
      <w:r>
        <w:rPr>
          <w:rFonts w:ascii="Calibri" w:hAnsi="Calibri" w:hint="eastAsia"/>
          <w:lang w:eastAsia="zh-CN"/>
        </w:rPr>
        <w:t>as</w:t>
      </w:r>
      <w:r>
        <w:rPr>
          <w:rFonts w:ascii="Calibri" w:hAnsi="Calibri"/>
        </w:rPr>
        <w:t xml:space="preserve"> </w:t>
      </w:r>
      <w:r>
        <w:rPr>
          <w:rFonts w:ascii="Calibri" w:hAnsi="Calibri" w:hint="eastAsia"/>
          <w:lang w:eastAsia="zh-CN"/>
        </w:rPr>
        <w:t>a</w:t>
      </w:r>
      <w:r>
        <w:rPr>
          <w:rFonts w:ascii="Calibri" w:hAnsi="Calibri"/>
        </w:rPr>
        <w:t xml:space="preserve"> </w:t>
      </w:r>
      <w:r>
        <w:rPr>
          <w:rFonts w:ascii="Calibri" w:hAnsi="Calibri" w:hint="eastAsia"/>
          <w:lang w:eastAsia="zh-CN"/>
        </w:rPr>
        <w:t>manner</w:t>
      </w:r>
      <w:r>
        <w:rPr>
          <w:rFonts w:ascii="Calibri" w:hAnsi="Calibri"/>
        </w:rPr>
        <w:t xml:space="preserve"> </w:t>
      </w:r>
      <w:r>
        <w:rPr>
          <w:rFonts w:ascii="Calibri" w:hAnsi="Calibri" w:hint="eastAsia"/>
          <w:lang w:eastAsia="zh-CN"/>
        </w:rPr>
        <w:t>of</w:t>
      </w:r>
      <w:r>
        <w:rPr>
          <w:rFonts w:ascii="Calibri" w:hAnsi="Calibri"/>
        </w:rPr>
        <w:t xml:space="preserve"> </w:t>
      </w:r>
      <w:r>
        <w:rPr>
          <w:rFonts w:ascii="Calibri" w:hAnsi="Calibri" w:hint="eastAsia"/>
          <w:lang w:eastAsia="zh-CN"/>
        </w:rPr>
        <w:t>high</w:t>
      </w:r>
      <w:r>
        <w:rPr>
          <w:rFonts w:ascii="Calibri" w:hAnsi="Calibri"/>
          <w:lang w:eastAsia="zh-CN"/>
        </w:rPr>
        <w:t>-</w:t>
      </w:r>
      <w:r>
        <w:rPr>
          <w:rFonts w:ascii="Calibri" w:hAnsi="Calibri" w:hint="eastAsia"/>
          <w:lang w:eastAsia="zh-CN"/>
        </w:rPr>
        <w:t>accurac</w:t>
      </w:r>
      <w:r>
        <w:rPr>
          <w:rFonts w:ascii="Calibri" w:hAnsi="Calibri" w:hint="eastAsia"/>
          <w:lang w:eastAsia="zh-CN"/>
        </w:rPr>
        <w:t>y</w:t>
      </w:r>
      <w:r>
        <w:rPr>
          <w:rFonts w:ascii="Calibri" w:hAnsi="Calibri"/>
          <w:lang w:eastAsia="zh-CN"/>
        </w:rPr>
        <w:t xml:space="preserve"> positioning </w:t>
      </w:r>
      <w:r>
        <w:rPr>
          <w:rFonts w:ascii="Calibri" w:hAnsi="Calibri" w:hint="eastAsia"/>
          <w:lang w:eastAsia="zh-CN"/>
        </w:rPr>
        <w:t>and</w:t>
      </w:r>
      <w:r>
        <w:rPr>
          <w:rFonts w:ascii="Calibri" w:hAnsi="Calibri"/>
          <w:lang w:eastAsia="zh-CN"/>
        </w:rPr>
        <w:t xml:space="preserve"> </w:t>
      </w:r>
      <w:r>
        <w:rPr>
          <w:rFonts w:ascii="Calibri" w:hAnsi="Calibri" w:hint="eastAsia"/>
          <w:lang w:eastAsia="zh-CN"/>
        </w:rPr>
        <w:t>ranging</w:t>
      </w:r>
      <w:r>
        <w:rPr>
          <w:rFonts w:ascii="Calibri" w:hAnsi="Calibri"/>
          <w:lang w:eastAsia="zh-CN"/>
        </w:rPr>
        <w:t xml:space="preserve"> </w:t>
      </w:r>
      <w:r>
        <w:rPr>
          <w:rFonts w:ascii="Calibri" w:hAnsi="Calibri" w:hint="eastAsia"/>
          <w:lang w:eastAsia="zh-CN"/>
        </w:rPr>
        <w:t>system</w:t>
      </w:r>
      <w:r>
        <w:rPr>
          <w:rFonts w:ascii="Calibri" w:hAnsi="Calibri"/>
          <w:lang w:eastAsia="zh-CN"/>
        </w:rPr>
        <w:t xml:space="preserve"> </w:t>
      </w:r>
      <w:r>
        <w:rPr>
          <w:rFonts w:ascii="Calibri" w:hAnsi="Calibri"/>
        </w:rPr>
        <w:t xml:space="preserve">in </w:t>
      </w:r>
      <w:r>
        <w:rPr>
          <w:rFonts w:ascii="Calibri" w:hAnsi="Calibri" w:hint="eastAsia"/>
          <w:lang w:eastAsia="zh-CN"/>
        </w:rPr>
        <w:t>maritime</w:t>
      </w:r>
      <w:r>
        <w:rPr>
          <w:rFonts w:ascii="Calibri" w:hAnsi="Calibri"/>
        </w:rPr>
        <w:t xml:space="preserve">. </w:t>
      </w:r>
    </w:p>
    <w:p w14:paraId="6CD30621" w14:textId="77777777" w:rsidR="00A051DB" w:rsidRDefault="008D76C3">
      <w:pPr>
        <w:pStyle w:val="Heading2"/>
      </w:pPr>
      <w:r>
        <w:t>Related documents</w:t>
      </w:r>
    </w:p>
    <w:p w14:paraId="769F1732" w14:textId="77777777" w:rsidR="00A051DB" w:rsidRDefault="008D76C3">
      <w:pPr>
        <w:pStyle w:val="BodyText"/>
        <w:rPr>
          <w:rFonts w:ascii="Calibri" w:hAnsi="Calibri"/>
        </w:rPr>
      </w:pPr>
      <w:r>
        <w:rPr>
          <w:rFonts w:ascii="Calibri" w:hAnsi="Calibri"/>
        </w:rPr>
        <w:t>[1]</w:t>
      </w:r>
      <w:r>
        <w:rPr>
          <w:rFonts w:ascii="Calibri" w:hAnsi="Calibri"/>
        </w:rPr>
        <w:tab/>
        <w:t xml:space="preserve"> </w:t>
      </w:r>
      <w:r>
        <w:rPr>
          <w:rFonts w:ascii="Calibri" w:hAnsi="Calibri" w:hint="eastAsia"/>
          <w:lang w:eastAsia="zh-CN"/>
        </w:rPr>
        <w:t>G</w:t>
      </w:r>
      <w:r>
        <w:rPr>
          <w:rFonts w:ascii="Calibri" w:hAnsi="Calibri"/>
        </w:rPr>
        <w:t xml:space="preserve">1127 SYSTEMS AND SERVICES FOR HIGHACCURACY POSITIONING AND RANGING </w:t>
      </w:r>
      <w:r>
        <w:rPr>
          <w:rFonts w:ascii="Calibri" w:hAnsi="Calibri"/>
          <w:lang w:eastAsia="zh-CN"/>
        </w:rPr>
        <w:t>(Edition 2.0)</w:t>
      </w:r>
    </w:p>
    <w:p w14:paraId="5049D911" w14:textId="77777777" w:rsidR="00A051DB" w:rsidRDefault="008D76C3">
      <w:pPr>
        <w:pStyle w:val="BodyText"/>
        <w:rPr>
          <w:rFonts w:ascii="Calibri" w:hAnsi="Calibri"/>
        </w:rPr>
      </w:pPr>
      <w:r>
        <w:rPr>
          <w:rFonts w:ascii="Calibri" w:hAnsi="Calibri"/>
        </w:rPr>
        <w:t>[</w:t>
      </w:r>
      <w:proofErr w:type="gramStart"/>
      <w:r>
        <w:rPr>
          <w:rFonts w:ascii="Calibri" w:hAnsi="Calibri"/>
        </w:rPr>
        <w:t>2]</w:t>
      </w:r>
      <w:proofErr w:type="spellStart"/>
      <w:r>
        <w:rPr>
          <w:rFonts w:ascii="Calibri" w:hAnsi="Calibri"/>
        </w:rPr>
        <w:t>BeiDou</w:t>
      </w:r>
      <w:proofErr w:type="spellEnd"/>
      <w:proofErr w:type="gramEnd"/>
      <w:r>
        <w:rPr>
          <w:rFonts w:ascii="Calibri" w:hAnsi="Calibri"/>
        </w:rPr>
        <w:t xml:space="preserve"> Navigation Satellite System Signal In Space Interface Control Document Precise Point Positioni</w:t>
      </w:r>
      <w:r>
        <w:rPr>
          <w:rFonts w:ascii="Calibri" w:hAnsi="Calibri"/>
        </w:rPr>
        <w:t>ng Service Signal PPP-B2b(Version 1.0)</w:t>
      </w:r>
      <w:r>
        <w:rPr>
          <w:rFonts w:ascii="Calibri" w:hAnsi="Calibri"/>
          <w:lang w:eastAsia="zh-CN"/>
        </w:rPr>
        <w:t xml:space="preserve">, </w:t>
      </w:r>
      <w:r>
        <w:rPr>
          <w:rFonts w:ascii="Calibri" w:hAnsi="Calibri"/>
        </w:rPr>
        <w:t>July, 2020</w:t>
      </w:r>
    </w:p>
    <w:p w14:paraId="3C193D6A" w14:textId="77777777" w:rsidR="00A051DB" w:rsidRDefault="008D76C3">
      <w:pPr>
        <w:pStyle w:val="BodyText"/>
        <w:rPr>
          <w:rFonts w:ascii="Calibri" w:hAnsi="Calibri"/>
        </w:rPr>
      </w:pPr>
      <w:r>
        <w:rPr>
          <w:rFonts w:ascii="Calibri" w:hAnsi="Calibri"/>
        </w:rPr>
        <w:t>http://www.beidou.gov.cn/xt/gfxz/202008/P020200803362062482940.pdf</w:t>
      </w:r>
    </w:p>
    <w:p w14:paraId="2F55D5FD" w14:textId="77777777" w:rsidR="00A051DB" w:rsidRDefault="008D76C3">
      <w:pPr>
        <w:pStyle w:val="BodyText"/>
        <w:rPr>
          <w:rFonts w:ascii="Calibri" w:hAnsi="Calibri"/>
        </w:rPr>
      </w:pPr>
      <w:r>
        <w:rPr>
          <w:rFonts w:ascii="Calibri" w:hAnsi="Calibri"/>
        </w:rPr>
        <w:t>[3]</w:t>
      </w:r>
      <w:r>
        <w:rPr>
          <w:rFonts w:ascii="Calibri" w:hAnsi="Calibri"/>
        </w:rPr>
        <w:tab/>
      </w:r>
      <w:proofErr w:type="spellStart"/>
      <w:r>
        <w:rPr>
          <w:rFonts w:ascii="Calibri" w:hAnsi="Calibri"/>
        </w:rPr>
        <w:t>BeiDou</w:t>
      </w:r>
      <w:proofErr w:type="spellEnd"/>
      <w:r>
        <w:rPr>
          <w:rFonts w:ascii="Calibri" w:hAnsi="Calibri"/>
        </w:rPr>
        <w:t xml:space="preserve"> Navigation Satellite System Open Service Performance Standard (Version 3.0),</w:t>
      </w:r>
      <w:r>
        <w:t xml:space="preserve"> </w:t>
      </w:r>
      <w:proofErr w:type="gramStart"/>
      <w:r>
        <w:rPr>
          <w:rFonts w:ascii="Calibri" w:hAnsi="Calibri"/>
        </w:rPr>
        <w:t>May,</w:t>
      </w:r>
      <w:proofErr w:type="gramEnd"/>
      <w:r>
        <w:rPr>
          <w:rFonts w:ascii="Calibri" w:hAnsi="Calibri"/>
        </w:rPr>
        <w:t xml:space="preserve"> 2021</w:t>
      </w:r>
    </w:p>
    <w:p w14:paraId="0AFF1385" w14:textId="77777777" w:rsidR="00A051DB" w:rsidRDefault="008D76C3">
      <w:pPr>
        <w:pStyle w:val="BodyText"/>
        <w:rPr>
          <w:rFonts w:ascii="Calibri" w:hAnsi="Calibri"/>
        </w:rPr>
      </w:pPr>
      <w:hyperlink r:id="rId11" w:history="1">
        <w:r>
          <w:rPr>
            <w:rStyle w:val="Hyperlink"/>
            <w:rFonts w:ascii="Calibri" w:hAnsi="Calibri"/>
          </w:rPr>
          <w:t>http://www.beidou.gov.cn/xt/gfxz/202105/P020210526216231136238.pdf</w:t>
        </w:r>
      </w:hyperlink>
    </w:p>
    <w:p w14:paraId="769C892A" w14:textId="77777777" w:rsidR="00A051DB" w:rsidRDefault="008D76C3">
      <w:pPr>
        <w:pStyle w:val="BodyText"/>
        <w:rPr>
          <w:rFonts w:ascii="Calibri" w:hAnsi="Calibri"/>
        </w:rPr>
      </w:pPr>
      <w:r>
        <w:rPr>
          <w:rFonts w:ascii="Calibri" w:hAnsi="Calibri" w:hint="eastAsia"/>
        </w:rPr>
        <w:t>[</w:t>
      </w:r>
      <w:r>
        <w:rPr>
          <w:rFonts w:ascii="Calibri" w:hAnsi="Calibri"/>
        </w:rPr>
        <w:t>4] Design and implementation of a BDS precise point positioning service</w:t>
      </w:r>
      <w:r>
        <w:rPr>
          <w:rFonts w:ascii="Calibri" w:hAnsi="Calibri" w:hint="eastAsia"/>
        </w:rPr>
        <w:t>,</w:t>
      </w:r>
      <w:r>
        <w:rPr>
          <w:rFonts w:ascii="Calibri" w:hAnsi="Calibri"/>
        </w:rPr>
        <w:t xml:space="preserve"> 21 February 2020, ION</w:t>
      </w:r>
      <w:r>
        <w:rPr>
          <w:rFonts w:ascii="Calibri" w:hAnsi="Calibri" w:hint="eastAsia"/>
          <w:lang w:eastAsia="zh-CN"/>
        </w:rPr>
        <w:t>.</w:t>
      </w:r>
      <w:r>
        <w:rPr>
          <w:rFonts w:ascii="Calibri" w:hAnsi="Calibri"/>
          <w:lang w:eastAsia="zh-CN"/>
        </w:rPr>
        <w:t xml:space="preserve"> </w:t>
      </w:r>
      <w:r>
        <w:rPr>
          <w:rFonts w:ascii="Calibri" w:hAnsi="Calibri"/>
        </w:rPr>
        <w:t>DOI: 10.1002/navi.392</w:t>
      </w:r>
    </w:p>
    <w:p w14:paraId="6E4704C5" w14:textId="77777777" w:rsidR="00A051DB" w:rsidRDefault="008D76C3">
      <w:pPr>
        <w:pStyle w:val="Heading1"/>
      </w:pPr>
      <w:r>
        <w:lastRenderedPageBreak/>
        <w:t>Background</w:t>
      </w:r>
    </w:p>
    <w:p w14:paraId="358EE4CA" w14:textId="77777777" w:rsidR="00A051DB" w:rsidRDefault="008D76C3">
      <w:pPr>
        <w:pStyle w:val="BodyText"/>
        <w:rPr>
          <w:rFonts w:ascii="Calibri" w:hAnsi="Calibri"/>
          <w:lang w:eastAsia="zh-CN"/>
        </w:rPr>
      </w:pPr>
      <w:r>
        <w:rPr>
          <w:rFonts w:ascii="Calibri" w:hAnsi="Calibri"/>
          <w:lang w:eastAsia="zh-CN"/>
        </w:rPr>
        <w:t xml:space="preserve">The </w:t>
      </w:r>
      <w:proofErr w:type="spellStart"/>
      <w:r>
        <w:rPr>
          <w:rFonts w:ascii="Calibri" w:hAnsi="Calibri"/>
          <w:lang w:eastAsia="zh-CN"/>
        </w:rPr>
        <w:t>BeiDou</w:t>
      </w:r>
      <w:proofErr w:type="spellEnd"/>
      <w:r>
        <w:rPr>
          <w:rFonts w:ascii="Calibri" w:hAnsi="Calibri"/>
          <w:lang w:eastAsia="zh-CN"/>
        </w:rPr>
        <w:t xml:space="preserve"> Navigation Satellite System (BDS) has been built and developed in accordance with a "three-step" strategy. BDS-1 construction was started from 1994 and put into use in 2000. It adopted an active positioning scheme to provide Chinese users with p</w:t>
      </w:r>
      <w:r>
        <w:rPr>
          <w:rFonts w:ascii="Calibri" w:hAnsi="Calibri"/>
          <w:lang w:eastAsia="zh-CN"/>
        </w:rPr>
        <w:t xml:space="preserve">ositioning, timing, wide-area </w:t>
      </w:r>
      <w:proofErr w:type="gramStart"/>
      <w:r>
        <w:rPr>
          <w:rFonts w:ascii="Calibri" w:hAnsi="Calibri"/>
          <w:lang w:eastAsia="zh-CN"/>
        </w:rPr>
        <w:t>differential</w:t>
      </w:r>
      <w:proofErr w:type="gramEnd"/>
      <w:r>
        <w:rPr>
          <w:rFonts w:ascii="Calibri" w:hAnsi="Calibri"/>
          <w:lang w:eastAsia="zh-CN"/>
        </w:rPr>
        <w:t xml:space="preserve"> and short message communication services. BDS-2 construction was started from 2004 and put into use in 2012. Besides inheriting the technically compatible with BDS-1, BDS-2 also added a passive positioning scheme </w:t>
      </w:r>
      <w:r>
        <w:rPr>
          <w:rFonts w:ascii="Calibri" w:hAnsi="Calibri"/>
          <w:lang w:eastAsia="zh-CN"/>
        </w:rPr>
        <w:t xml:space="preserve">to provide users in the Asia-Pacific regions with positioning, velocity measurement, </w:t>
      </w:r>
      <w:proofErr w:type="gramStart"/>
      <w:r>
        <w:rPr>
          <w:rFonts w:ascii="Calibri" w:hAnsi="Calibri"/>
          <w:lang w:eastAsia="zh-CN"/>
        </w:rPr>
        <w:t>timing</w:t>
      </w:r>
      <w:proofErr w:type="gramEnd"/>
      <w:r>
        <w:rPr>
          <w:rFonts w:ascii="Calibri" w:hAnsi="Calibri"/>
          <w:lang w:eastAsia="zh-CN"/>
        </w:rPr>
        <w:t xml:space="preserve"> and short message communication services. BDS-3 construction was started from 2009 and fully completed in 2020. </w:t>
      </w:r>
      <w:proofErr w:type="gramStart"/>
      <w:r>
        <w:rPr>
          <w:rFonts w:ascii="Calibri" w:hAnsi="Calibri"/>
          <w:lang w:eastAsia="zh-CN"/>
        </w:rPr>
        <w:t>On the basis of</w:t>
      </w:r>
      <w:proofErr w:type="gramEnd"/>
      <w:r>
        <w:rPr>
          <w:rFonts w:ascii="Calibri" w:hAnsi="Calibri"/>
          <w:lang w:eastAsia="zh-CN"/>
        </w:rPr>
        <w:t xml:space="preserve"> BDS-2, BDS-3 further improves servic</w:t>
      </w:r>
      <w:r>
        <w:rPr>
          <w:rFonts w:ascii="Calibri" w:hAnsi="Calibri"/>
          <w:lang w:eastAsia="zh-CN"/>
        </w:rPr>
        <w:t xml:space="preserve">es performance and expands services functions. </w:t>
      </w:r>
    </w:p>
    <w:p w14:paraId="45EBF086" w14:textId="77777777" w:rsidR="00A051DB" w:rsidRDefault="008D76C3">
      <w:pPr>
        <w:pStyle w:val="BodyText"/>
        <w:rPr>
          <w:rFonts w:ascii="Calibri" w:hAnsi="Calibri"/>
          <w:lang w:eastAsia="zh-CN"/>
        </w:rPr>
      </w:pPr>
      <w:r>
        <w:rPr>
          <w:rFonts w:ascii="Calibri" w:hAnsi="Calibri"/>
          <w:lang w:eastAsia="zh-CN"/>
        </w:rPr>
        <w:t>BDS-3 provides various services, including positioning, navigation, timing, global message communication, and international search and rescue services for global users, as well as the satellite-based augmenta</w:t>
      </w:r>
      <w:r>
        <w:rPr>
          <w:rFonts w:ascii="Calibri" w:hAnsi="Calibri"/>
          <w:lang w:eastAsia="zh-CN"/>
        </w:rPr>
        <w:t xml:space="preserve">tion, ground augmentation, precise point positioning and </w:t>
      </w:r>
      <w:proofErr w:type="gramStart"/>
      <w:r>
        <w:rPr>
          <w:rFonts w:ascii="Calibri" w:hAnsi="Calibri"/>
          <w:lang w:eastAsia="zh-CN"/>
        </w:rPr>
        <w:t>regional  message</w:t>
      </w:r>
      <w:proofErr w:type="gramEnd"/>
      <w:r>
        <w:rPr>
          <w:rFonts w:ascii="Calibri" w:hAnsi="Calibri"/>
          <w:lang w:eastAsia="zh-CN"/>
        </w:rPr>
        <w:t xml:space="preserve"> communication services for users in China and surrounding areas.</w:t>
      </w:r>
    </w:p>
    <w:p w14:paraId="0777280A" w14:textId="77777777" w:rsidR="00A051DB" w:rsidRDefault="008D76C3">
      <w:pPr>
        <w:pStyle w:val="BodyText"/>
        <w:rPr>
          <w:rFonts w:ascii="Calibri" w:hAnsi="Calibri"/>
          <w:lang w:eastAsia="zh-CN"/>
        </w:rPr>
      </w:pPr>
      <w:r>
        <w:rPr>
          <w:rFonts w:ascii="Calibri" w:hAnsi="Calibri"/>
          <w:lang w:eastAsia="zh-CN"/>
        </w:rPr>
        <w:t>BDS PPP provide service to users in China and its surrounding areas in the scope of 10 ° N~55 ° N, 75 ° E~135 ° E, o</w:t>
      </w:r>
      <w:r>
        <w:rPr>
          <w:rFonts w:ascii="Calibri" w:hAnsi="Calibri"/>
          <w:lang w:eastAsia="zh-CN"/>
        </w:rPr>
        <w:t>n the surface of the Earth and its near-earth areas extending within 1,000 kilometres above the Earth surface.</w:t>
      </w:r>
    </w:p>
    <w:p w14:paraId="0147B591" w14:textId="77777777" w:rsidR="00A051DB" w:rsidRDefault="008D76C3">
      <w:pPr>
        <w:pStyle w:val="Heading1"/>
      </w:pPr>
      <w:r>
        <w:t>Discussion</w:t>
      </w:r>
    </w:p>
    <w:p w14:paraId="370D3C6A" w14:textId="77777777" w:rsidR="00A051DB" w:rsidRDefault="008D76C3">
      <w:pPr>
        <w:pStyle w:val="Heading2"/>
        <w:ind w:left="0" w:firstLine="0"/>
        <w:rPr>
          <w:b w:val="0"/>
          <w:color w:val="auto"/>
          <w:sz w:val="22"/>
          <w:szCs w:val="22"/>
          <w:lang w:eastAsia="zh-CN"/>
        </w:rPr>
      </w:pPr>
      <w:r>
        <w:rPr>
          <w:rFonts w:hint="eastAsia"/>
        </w:rPr>
        <w:t>BDS</w:t>
      </w:r>
      <w:r>
        <w:t xml:space="preserve"> PPP S</w:t>
      </w:r>
      <w:r>
        <w:rPr>
          <w:rFonts w:hint="eastAsia"/>
        </w:rPr>
        <w:t>ervice</w:t>
      </w:r>
      <w:r>
        <w:t xml:space="preserve"> Architecture</w:t>
      </w:r>
    </w:p>
    <w:p w14:paraId="11D385F4" w14:textId="77777777" w:rsidR="00A051DB" w:rsidRDefault="008D76C3">
      <w:pPr>
        <w:pStyle w:val="BodyText"/>
        <w:rPr>
          <w:rFonts w:ascii="Calibri" w:hAnsi="Calibri"/>
          <w:lang w:eastAsia="zh-CN"/>
        </w:rPr>
      </w:pPr>
      <w:r>
        <w:rPr>
          <w:rFonts w:ascii="Calibri" w:hAnsi="Calibri"/>
          <w:lang w:eastAsia="zh-CN"/>
        </w:rPr>
        <w:t>the BDS PPP service works by using the space and ground segment facilities of BDS-</w:t>
      </w:r>
      <w:proofErr w:type="gramStart"/>
      <w:r>
        <w:rPr>
          <w:rFonts w:ascii="Calibri" w:hAnsi="Calibri"/>
          <w:lang w:eastAsia="zh-CN"/>
        </w:rPr>
        <w:t>3.</w:t>
      </w:r>
      <w:r>
        <w:rPr>
          <w:rFonts w:ascii="Calibri" w:hAnsi="Calibri" w:hint="eastAsia"/>
          <w:lang w:eastAsia="zh-CN"/>
        </w:rPr>
        <w:t>The</w:t>
      </w:r>
      <w:proofErr w:type="gramEnd"/>
      <w:r>
        <w:rPr>
          <w:rFonts w:ascii="Calibri" w:hAnsi="Calibri"/>
          <w:lang w:eastAsia="zh-CN"/>
        </w:rPr>
        <w:t xml:space="preserve"> </w:t>
      </w:r>
      <w:r>
        <w:rPr>
          <w:rFonts w:ascii="Calibri" w:hAnsi="Calibri" w:hint="eastAsia"/>
          <w:lang w:eastAsia="zh-CN"/>
        </w:rPr>
        <w:t>architecture</w:t>
      </w:r>
      <w:r>
        <w:rPr>
          <w:rFonts w:ascii="Calibri" w:hAnsi="Calibri"/>
          <w:lang w:eastAsia="zh-CN"/>
        </w:rPr>
        <w:t xml:space="preserve"> </w:t>
      </w:r>
      <w:r>
        <w:rPr>
          <w:rFonts w:ascii="Calibri" w:hAnsi="Calibri" w:hint="eastAsia"/>
          <w:lang w:eastAsia="zh-CN"/>
        </w:rPr>
        <w:t>in</w:t>
      </w:r>
      <w:r>
        <w:rPr>
          <w:rFonts w:ascii="Calibri" w:hAnsi="Calibri"/>
          <w:lang w:eastAsia="zh-CN"/>
        </w:rPr>
        <w:t xml:space="preserve"> </w:t>
      </w:r>
      <w:r>
        <w:rPr>
          <w:rFonts w:ascii="Calibri" w:hAnsi="Calibri" w:hint="eastAsia"/>
          <w:lang w:eastAsia="zh-CN"/>
        </w:rPr>
        <w:t>s</w:t>
      </w:r>
      <w:r>
        <w:rPr>
          <w:rFonts w:ascii="Calibri" w:hAnsi="Calibri" w:hint="eastAsia"/>
          <w:lang w:eastAsia="zh-CN"/>
        </w:rPr>
        <w:t>how</w:t>
      </w:r>
      <w:r>
        <w:rPr>
          <w:rFonts w:ascii="Calibri" w:hAnsi="Calibri"/>
          <w:lang w:eastAsia="zh-CN"/>
        </w:rPr>
        <w:t xml:space="preserve"> </w:t>
      </w:r>
      <w:r>
        <w:rPr>
          <w:rFonts w:ascii="Calibri" w:hAnsi="Calibri" w:hint="eastAsia"/>
          <w:lang w:eastAsia="zh-CN"/>
        </w:rPr>
        <w:t>in</w:t>
      </w:r>
      <w:r>
        <w:rPr>
          <w:rFonts w:ascii="Calibri" w:hAnsi="Calibri"/>
          <w:lang w:eastAsia="zh-CN"/>
        </w:rPr>
        <w:t xml:space="preserve"> figure 1.</w:t>
      </w:r>
    </w:p>
    <w:p w14:paraId="7AC69F9A" w14:textId="77777777" w:rsidR="00A051DB" w:rsidRDefault="008D76C3">
      <w:pPr>
        <w:pStyle w:val="BodyText"/>
        <w:ind w:firstLineChars="200" w:firstLine="440"/>
        <w:rPr>
          <w:rFonts w:ascii="Calibri" w:hAnsi="Calibri"/>
          <w:lang w:eastAsia="zh-CN"/>
        </w:rPr>
      </w:pPr>
      <w:r>
        <w:rPr>
          <w:rFonts w:ascii="Calibri" w:hAnsi="Calibri"/>
          <w:lang w:eastAsia="zh-CN"/>
        </w:rPr>
        <w:t xml:space="preserve">a) Space segment: three BDS-3GEO located at longitudes 80°, 110.5 °, and 140 </w:t>
      </w:r>
      <w:proofErr w:type="gramStart"/>
      <w:r>
        <w:rPr>
          <w:rFonts w:ascii="Calibri" w:hAnsi="Calibri"/>
          <w:lang w:eastAsia="zh-CN"/>
        </w:rPr>
        <w:t>° .</w:t>
      </w:r>
      <w:proofErr w:type="gramEnd"/>
    </w:p>
    <w:p w14:paraId="30E5DF77" w14:textId="77777777" w:rsidR="00A051DB" w:rsidRDefault="008D76C3">
      <w:pPr>
        <w:pStyle w:val="BodyText"/>
        <w:ind w:firstLineChars="200" w:firstLine="440"/>
        <w:rPr>
          <w:rFonts w:ascii="Calibri" w:hAnsi="Calibri"/>
          <w:lang w:eastAsia="zh-CN"/>
        </w:rPr>
      </w:pPr>
      <w:r>
        <w:rPr>
          <w:rFonts w:ascii="Calibri" w:hAnsi="Calibri"/>
          <w:lang w:eastAsia="zh-CN"/>
        </w:rPr>
        <w:t>b) Ground segment: consists of the master control station (MCS), uplink stations (ULS), and monitoring stations (MS), which are well distributed in mainland C</w:t>
      </w:r>
      <w:r>
        <w:rPr>
          <w:rFonts w:ascii="Calibri" w:hAnsi="Calibri"/>
          <w:lang w:eastAsia="zh-CN"/>
        </w:rPr>
        <w:t xml:space="preserve">hina. The MS carries out continuous monitoring for all the visible satellites of the global navigation satellite systems (GNSS), forming </w:t>
      </w:r>
      <w:proofErr w:type="spellStart"/>
      <w:r>
        <w:rPr>
          <w:rFonts w:ascii="Calibri" w:hAnsi="Calibri"/>
          <w:lang w:eastAsia="zh-CN"/>
        </w:rPr>
        <w:t>pseudorange</w:t>
      </w:r>
      <w:proofErr w:type="spellEnd"/>
      <w:r>
        <w:rPr>
          <w:rFonts w:ascii="Calibri" w:hAnsi="Calibri"/>
          <w:lang w:eastAsia="zh-CN"/>
        </w:rPr>
        <w:t xml:space="preserve"> and carrier phase observations, and collecting meteorological data. After pre-processing, the raw data are </w:t>
      </w:r>
      <w:r>
        <w:rPr>
          <w:rFonts w:ascii="Calibri" w:hAnsi="Calibri"/>
          <w:lang w:eastAsia="zh-CN"/>
        </w:rPr>
        <w:t>sent to the MCS via a network. The quality verification and accuracy assessment for the raw data are carried out by the MCS for pre-processing. The raw data are compared with historical precise products for the overlapping arcs, and the user differential r</w:t>
      </w:r>
      <w:r>
        <w:rPr>
          <w:rFonts w:ascii="Calibri" w:hAnsi="Calibri"/>
          <w:lang w:eastAsia="zh-CN"/>
        </w:rPr>
        <w:t xml:space="preserve">ange error (UDRE) is evaluated. After pre-processing, the precise prediction satellite orbit and clock corrections are solved and fitted based on a dynamical smoothing process. According to the design protocol and format, the </w:t>
      </w:r>
      <w:proofErr w:type="gramStart"/>
      <w:r>
        <w:rPr>
          <w:rFonts w:ascii="Calibri" w:hAnsi="Calibri"/>
          <w:lang w:eastAsia="zh-CN"/>
        </w:rPr>
        <w:t>corrections</w:t>
      </w:r>
      <w:proofErr w:type="gramEnd"/>
      <w:r>
        <w:rPr>
          <w:rFonts w:ascii="Calibri" w:hAnsi="Calibri"/>
          <w:lang w:eastAsia="zh-CN"/>
        </w:rPr>
        <w:t xml:space="preserve"> and other related </w:t>
      </w:r>
      <w:r>
        <w:rPr>
          <w:rFonts w:ascii="Calibri" w:hAnsi="Calibri"/>
          <w:lang w:eastAsia="zh-CN"/>
        </w:rPr>
        <w:t>parameters such as mask and differential code bias (DCB) are attached to the augmentation navigation messages and then transferred to the ULS. The ULS transmits the augmentation navigation messages to the GEO satellites for broadcasting via PPP-B2b signals</w:t>
      </w:r>
      <w:r>
        <w:rPr>
          <w:rFonts w:ascii="Calibri" w:hAnsi="Calibri"/>
          <w:lang w:eastAsia="zh-CN"/>
        </w:rPr>
        <w:t xml:space="preserve">. Meanwhile, the MS and MCS retrieve the messages for closed-loop checking. </w:t>
      </w:r>
    </w:p>
    <w:p w14:paraId="7DBAB045" w14:textId="77777777" w:rsidR="00A051DB" w:rsidRDefault="008D76C3">
      <w:pPr>
        <w:pStyle w:val="BodyText"/>
        <w:ind w:firstLineChars="200" w:firstLine="440"/>
        <w:rPr>
          <w:rFonts w:ascii="Calibri" w:hAnsi="Calibri"/>
          <w:lang w:eastAsia="zh-CN"/>
        </w:rPr>
      </w:pPr>
      <w:r>
        <w:rPr>
          <w:rFonts w:ascii="Calibri" w:hAnsi="Calibri"/>
          <w:lang w:eastAsia="zh-CN"/>
        </w:rPr>
        <w:t>c)User segment: includes various receivers with PPP-B2b signal reception, augmentation navigation message demodulation, and PPP solution functions.</w:t>
      </w:r>
    </w:p>
    <w:p w14:paraId="7E093150" w14:textId="77777777" w:rsidR="00A051DB" w:rsidRDefault="008D76C3">
      <w:pPr>
        <w:pStyle w:val="BodyText"/>
        <w:jc w:val="center"/>
        <w:rPr>
          <w:i/>
          <w:sz w:val="21"/>
          <w:szCs w:val="18"/>
          <w:lang w:eastAsia="zh-CN"/>
        </w:rPr>
      </w:pPr>
      <w:r>
        <w:rPr>
          <w:noProof/>
        </w:rPr>
        <w:lastRenderedPageBreak/>
        <w:drawing>
          <wp:inline distT="0" distB="0" distL="0" distR="0" wp14:anchorId="2A77A021" wp14:editId="4A46E515">
            <wp:extent cx="3444240" cy="2814320"/>
            <wp:effectExtent l="0" t="0" r="3810" b="508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47533" cy="2817127"/>
                    </a:xfrm>
                    <a:prstGeom prst="rect">
                      <a:avLst/>
                    </a:prstGeom>
                    <a:noFill/>
                    <a:ln>
                      <a:noFill/>
                    </a:ln>
                    <a:effectLst/>
                  </pic:spPr>
                </pic:pic>
              </a:graphicData>
            </a:graphic>
          </wp:inline>
        </w:drawing>
      </w:r>
    </w:p>
    <w:p w14:paraId="41B5B9C8" w14:textId="77777777" w:rsidR="00A051DB" w:rsidRDefault="008D76C3">
      <w:pPr>
        <w:pStyle w:val="BodyText"/>
        <w:jc w:val="center"/>
        <w:rPr>
          <w:i/>
          <w:szCs w:val="20"/>
        </w:rPr>
      </w:pPr>
      <w:r>
        <w:rPr>
          <w:rFonts w:hint="eastAsia"/>
          <w:i/>
          <w:szCs w:val="20"/>
          <w:lang w:eastAsia="zh-CN"/>
        </w:rPr>
        <w:t>Figure</w:t>
      </w:r>
      <w:r>
        <w:rPr>
          <w:i/>
          <w:szCs w:val="20"/>
        </w:rPr>
        <w:t xml:space="preserve"> 1</w:t>
      </w:r>
      <w:r>
        <w:rPr>
          <w:rFonts w:hint="eastAsia"/>
          <w:i/>
          <w:szCs w:val="20"/>
        </w:rPr>
        <w:t xml:space="preserve"> </w:t>
      </w:r>
      <w:r>
        <w:rPr>
          <w:i/>
          <w:szCs w:val="20"/>
        </w:rPr>
        <w:t xml:space="preserve">The </w:t>
      </w:r>
      <w:r>
        <w:rPr>
          <w:rFonts w:hint="eastAsia"/>
          <w:i/>
          <w:szCs w:val="20"/>
          <w:lang w:eastAsia="zh-CN"/>
        </w:rPr>
        <w:t>BDS</w:t>
      </w:r>
      <w:r>
        <w:rPr>
          <w:i/>
          <w:szCs w:val="20"/>
        </w:rPr>
        <w:t xml:space="preserve"> PPP architec</w:t>
      </w:r>
      <w:r>
        <w:rPr>
          <w:i/>
          <w:szCs w:val="20"/>
        </w:rPr>
        <w:t xml:space="preserve">ture </w:t>
      </w:r>
      <w:r>
        <w:rPr>
          <w:rFonts w:hint="eastAsia"/>
          <w:i/>
          <w:szCs w:val="20"/>
        </w:rPr>
        <w:t>and</w:t>
      </w:r>
      <w:r>
        <w:rPr>
          <w:i/>
          <w:szCs w:val="20"/>
        </w:rPr>
        <w:t xml:space="preserve"> Data processing flow</w:t>
      </w:r>
    </w:p>
    <w:p w14:paraId="73A500E6" w14:textId="77777777" w:rsidR="00A051DB" w:rsidRDefault="008D76C3">
      <w:pPr>
        <w:pStyle w:val="Heading2"/>
      </w:pPr>
      <w:r>
        <w:t>BDS PPP SIS Interface Characteristics</w:t>
      </w:r>
    </w:p>
    <w:p w14:paraId="1C207031" w14:textId="77777777" w:rsidR="00A051DB" w:rsidRDefault="008D76C3">
      <w:pPr>
        <w:keepNext/>
        <w:spacing w:before="120" w:after="120"/>
        <w:outlineLvl w:val="2"/>
        <w:rPr>
          <w:rFonts w:ascii="Calibri" w:hAnsi="Calibri"/>
          <w:sz w:val="22"/>
          <w:szCs w:val="21"/>
        </w:rPr>
      </w:pPr>
      <w:r>
        <w:rPr>
          <w:rFonts w:ascii="Calibri" w:hAnsi="Calibri"/>
          <w:sz w:val="22"/>
          <w:szCs w:val="21"/>
        </w:rPr>
        <w:t>3.2.1 SIS RF Characteristic</w:t>
      </w:r>
    </w:p>
    <w:p w14:paraId="237CCC5D" w14:textId="77777777" w:rsidR="00A051DB" w:rsidRDefault="008D76C3">
      <w:pPr>
        <w:pStyle w:val="BodyText"/>
        <w:rPr>
          <w:rFonts w:ascii="Calibri" w:hAnsi="Calibri"/>
        </w:rPr>
      </w:pPr>
      <w:r>
        <w:rPr>
          <w:rFonts w:ascii="Calibri" w:hAnsi="Calibri"/>
        </w:rPr>
        <w:t xml:space="preserve">The </w:t>
      </w:r>
      <w:proofErr w:type="spellStart"/>
      <w:r>
        <w:rPr>
          <w:rFonts w:ascii="Calibri" w:hAnsi="Calibri"/>
        </w:rPr>
        <w:t>center</w:t>
      </w:r>
      <w:proofErr w:type="spellEnd"/>
      <w:r>
        <w:rPr>
          <w:rFonts w:ascii="Calibri" w:hAnsi="Calibri"/>
        </w:rPr>
        <w:t xml:space="preserve"> frequency of the PPP-B2b signal is 1207.14 MHz, and the bandwidth is 20.46 </w:t>
      </w:r>
      <w:proofErr w:type="spellStart"/>
      <w:r>
        <w:rPr>
          <w:rFonts w:ascii="Calibri" w:hAnsi="Calibri"/>
        </w:rPr>
        <w:t>MHz.</w:t>
      </w:r>
      <w:proofErr w:type="spellEnd"/>
      <w:r>
        <w:rPr>
          <w:rFonts w:ascii="Calibri" w:hAnsi="Calibri"/>
        </w:rPr>
        <w:t xml:space="preserve"> The I component of PPP-B2b signal is modulated in BPSK (10), and </w:t>
      </w:r>
      <w:r>
        <w:rPr>
          <w:rFonts w:ascii="Calibri" w:hAnsi="Calibri"/>
        </w:rPr>
        <w:t xml:space="preserve">polarized by RHCP, while the right-hand circularly polarized antenna is 0 </w:t>
      </w:r>
      <w:proofErr w:type="spellStart"/>
      <w:r>
        <w:rPr>
          <w:rFonts w:ascii="Calibri" w:hAnsi="Calibri"/>
        </w:rPr>
        <w:t>dBi</w:t>
      </w:r>
      <w:proofErr w:type="spellEnd"/>
      <w:r>
        <w:rPr>
          <w:rFonts w:ascii="Calibri" w:hAnsi="Calibri"/>
        </w:rPr>
        <w:t xml:space="preserve"> gain (or the linearly polarized antenna is 3 </w:t>
      </w:r>
      <w:proofErr w:type="spellStart"/>
      <w:r>
        <w:rPr>
          <w:rFonts w:ascii="Calibri" w:hAnsi="Calibri"/>
        </w:rPr>
        <w:t>dBi</w:t>
      </w:r>
      <w:proofErr w:type="spellEnd"/>
      <w:r>
        <w:rPr>
          <w:rFonts w:ascii="Calibri" w:hAnsi="Calibri"/>
        </w:rPr>
        <w:t xml:space="preserve"> gain), the minimum power level that reaches the output of a receiver antenna is -160 </w:t>
      </w:r>
      <w:proofErr w:type="spellStart"/>
      <w:r>
        <w:rPr>
          <w:rFonts w:ascii="Calibri" w:hAnsi="Calibri"/>
        </w:rPr>
        <w:t>dBW</w:t>
      </w:r>
      <w:proofErr w:type="spellEnd"/>
      <w:r>
        <w:rPr>
          <w:rFonts w:ascii="Calibri" w:hAnsi="Calibri"/>
        </w:rPr>
        <w:t>. For details, please refer to the "</w:t>
      </w:r>
      <w:proofErr w:type="spellStart"/>
      <w:r>
        <w:rPr>
          <w:rFonts w:ascii="Calibri" w:hAnsi="Calibri"/>
        </w:rPr>
        <w:t>BeiDo</w:t>
      </w:r>
      <w:r>
        <w:rPr>
          <w:rFonts w:ascii="Calibri" w:hAnsi="Calibri"/>
        </w:rPr>
        <w:t>u</w:t>
      </w:r>
      <w:proofErr w:type="spellEnd"/>
      <w:r>
        <w:rPr>
          <w:rFonts w:ascii="Calibri" w:hAnsi="Calibri"/>
        </w:rPr>
        <w:t xml:space="preserve"> Navigation Satellite System Signal-in-Space Interface Control Document: Precise Point Positioning Service Signal PPP-B2b (Version 1.0)".</w:t>
      </w:r>
    </w:p>
    <w:p w14:paraId="05B8C6FB" w14:textId="77777777" w:rsidR="00A051DB" w:rsidRDefault="008D76C3">
      <w:pPr>
        <w:keepNext/>
        <w:spacing w:before="120" w:after="120"/>
        <w:outlineLvl w:val="2"/>
        <w:rPr>
          <w:rFonts w:ascii="Calibri" w:hAnsi="Calibri"/>
          <w:sz w:val="22"/>
          <w:szCs w:val="21"/>
        </w:rPr>
      </w:pPr>
      <w:r>
        <w:rPr>
          <w:rFonts w:ascii="Calibri" w:hAnsi="Calibri"/>
          <w:sz w:val="22"/>
          <w:szCs w:val="21"/>
        </w:rPr>
        <w:t>3.2.2 Characteristics of Navigation Message</w:t>
      </w:r>
    </w:p>
    <w:p w14:paraId="1CB651B2" w14:textId="77777777" w:rsidR="00A051DB" w:rsidRDefault="008D76C3">
      <w:pPr>
        <w:pStyle w:val="BodyText"/>
        <w:rPr>
          <w:rFonts w:ascii="Calibri" w:hAnsi="Calibri"/>
          <w:lang w:eastAsia="zh-CN"/>
        </w:rPr>
      </w:pPr>
      <w:r>
        <w:rPr>
          <w:rFonts w:ascii="Calibri" w:hAnsi="Calibri"/>
        </w:rPr>
        <w:t xml:space="preserve">The types of messages broadcast by PPP-B2b are shown in </w:t>
      </w:r>
      <w:r>
        <w:rPr>
          <w:rFonts w:ascii="Calibri" w:hAnsi="Calibri"/>
          <w:lang w:eastAsia="zh-CN"/>
        </w:rPr>
        <w:t>Table 1.</w:t>
      </w:r>
    </w:p>
    <w:p w14:paraId="1968CA38" w14:textId="77777777" w:rsidR="00A051DB" w:rsidRDefault="008D76C3">
      <w:pPr>
        <w:pStyle w:val="Figure"/>
        <w:numPr>
          <w:ilvl w:val="0"/>
          <w:numId w:val="3"/>
        </w:numPr>
        <w:ind w:left="0" w:firstLine="0"/>
        <w:rPr>
          <w:szCs w:val="22"/>
        </w:rPr>
      </w:pPr>
      <w:r>
        <w:rPr>
          <w:szCs w:val="22"/>
        </w:rPr>
        <w:t xml:space="preserve">Table </w:t>
      </w:r>
      <w:proofErr w:type="gramStart"/>
      <w:r>
        <w:rPr>
          <w:szCs w:val="22"/>
        </w:rPr>
        <w:t>1</w:t>
      </w:r>
      <w:r>
        <w:rPr>
          <w:rFonts w:hint="eastAsia"/>
          <w:szCs w:val="22"/>
        </w:rPr>
        <w:t xml:space="preserve"> </w:t>
      </w:r>
      <w:r>
        <w:rPr>
          <w:szCs w:val="22"/>
        </w:rPr>
        <w:t xml:space="preserve"> The</w:t>
      </w:r>
      <w:proofErr w:type="gramEnd"/>
      <w:r>
        <w:rPr>
          <w:szCs w:val="22"/>
        </w:rPr>
        <w:t xml:space="preserve"> PPP Defined message types</w:t>
      </w:r>
    </w:p>
    <w:tbl>
      <w:tblPr>
        <w:tblW w:w="8779" w:type="dxa"/>
        <w:tblLook w:val="04A0" w:firstRow="1" w:lastRow="0" w:firstColumn="1" w:lastColumn="0" w:noHBand="0" w:noVBand="1"/>
      </w:tblPr>
      <w:tblGrid>
        <w:gridCol w:w="2258"/>
        <w:gridCol w:w="6521"/>
      </w:tblGrid>
      <w:tr w:rsidR="00A051DB" w14:paraId="79892564"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42294CB" w14:textId="77777777" w:rsidR="00A051DB" w:rsidRDefault="008D76C3">
            <w:pPr>
              <w:widowControl/>
              <w:jc w:val="center"/>
              <w:rPr>
                <w:rFonts w:ascii="Times New Roman" w:eastAsia="SimSun" w:hAnsi="Times New Roman" w:cs="Times New Roman"/>
                <w:b/>
                <w:bCs/>
                <w:color w:val="000000"/>
                <w:kern w:val="0"/>
                <w:szCs w:val="21"/>
              </w:rPr>
            </w:pPr>
            <w:r>
              <w:rPr>
                <w:rFonts w:ascii="Times New Roman" w:eastAsia="SimSun" w:hAnsi="Times New Roman" w:cs="Times New Roman"/>
                <w:b/>
                <w:bCs/>
                <w:color w:val="000000"/>
                <w:kern w:val="0"/>
                <w:szCs w:val="21"/>
              </w:rPr>
              <w:t>Message types (in decimal)</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DB31068" w14:textId="77777777" w:rsidR="00A051DB" w:rsidRDefault="008D76C3">
            <w:pPr>
              <w:widowControl/>
              <w:jc w:val="center"/>
              <w:rPr>
                <w:rFonts w:ascii="Times New Roman" w:eastAsia="SimSun" w:hAnsi="Times New Roman" w:cs="Times New Roman"/>
                <w:b/>
                <w:bCs/>
                <w:color w:val="000000"/>
                <w:kern w:val="0"/>
                <w:szCs w:val="21"/>
              </w:rPr>
            </w:pPr>
            <w:r>
              <w:rPr>
                <w:rFonts w:ascii="Times New Roman" w:eastAsia="SimSun" w:hAnsi="Times New Roman" w:cs="Times New Roman"/>
                <w:b/>
                <w:bCs/>
                <w:color w:val="000000"/>
                <w:kern w:val="0"/>
                <w:szCs w:val="21"/>
              </w:rPr>
              <w:t>Information content</w:t>
            </w:r>
          </w:p>
        </w:tc>
      </w:tr>
      <w:tr w:rsidR="00A051DB" w14:paraId="51470ABD"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D6C75B3"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1</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4EC1DFB"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Satellite mask</w:t>
            </w:r>
          </w:p>
        </w:tc>
      </w:tr>
      <w:tr w:rsidR="00A051DB" w14:paraId="0927B8B7"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2D73C55C"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2</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4D6725F3"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Satellite orbit correction and user range accuracy</w:t>
            </w:r>
          </w:p>
        </w:tc>
      </w:tr>
      <w:tr w:rsidR="00A051DB" w14:paraId="577C3EEB"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53E60B5D"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3</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3B4EC22E"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Differential code bias</w:t>
            </w:r>
          </w:p>
        </w:tc>
      </w:tr>
      <w:tr w:rsidR="00A051DB" w14:paraId="68561F96"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54869FE7"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4</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4BB13549"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Satellite clock correction</w:t>
            </w:r>
          </w:p>
        </w:tc>
      </w:tr>
      <w:tr w:rsidR="00A051DB" w14:paraId="400BEB25"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4B06B72D"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5</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5BAE1296"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User range accuracy</w:t>
            </w:r>
          </w:p>
        </w:tc>
      </w:tr>
      <w:tr w:rsidR="00A051DB" w14:paraId="4C238DEF"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2448BE70"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6</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15BE99EB"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 xml:space="preserve">Clock </w:t>
            </w:r>
            <w:r>
              <w:rPr>
                <w:rFonts w:ascii="Times New Roman" w:eastAsia="SimSun" w:hAnsi="Times New Roman" w:cs="Times New Roman"/>
                <w:color w:val="000000"/>
                <w:kern w:val="0"/>
                <w:szCs w:val="21"/>
              </w:rPr>
              <w:t>correction and orbit correction - combination 1</w:t>
            </w:r>
          </w:p>
        </w:tc>
      </w:tr>
      <w:tr w:rsidR="00A051DB" w14:paraId="06A628F6"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0B08E132"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7</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6EB3E6B2"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Clock correction and orbit correction - combination 2</w:t>
            </w:r>
          </w:p>
        </w:tc>
      </w:tr>
      <w:tr w:rsidR="00A051DB" w14:paraId="2E24F17A"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2F7E273B"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8-61</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15B3CF50"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Reserved</w:t>
            </w:r>
          </w:p>
        </w:tc>
      </w:tr>
      <w:tr w:rsidR="00A051DB" w14:paraId="76D9C302"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5A509EC0"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62</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61E705E3"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Reserved</w:t>
            </w:r>
          </w:p>
        </w:tc>
      </w:tr>
      <w:tr w:rsidR="00A051DB" w14:paraId="4215DD52" w14:textId="77777777">
        <w:trPr>
          <w:trHeight w:val="57"/>
        </w:trPr>
        <w:tc>
          <w:tcPr>
            <w:tcW w:w="2258" w:type="dxa"/>
            <w:tcBorders>
              <w:top w:val="single" w:sz="8" w:space="0" w:color="000000"/>
              <w:left w:val="single" w:sz="8" w:space="0" w:color="000000"/>
              <w:bottom w:val="single" w:sz="8" w:space="0" w:color="000000"/>
              <w:right w:val="single" w:sz="8" w:space="0" w:color="000000"/>
            </w:tcBorders>
            <w:shd w:val="clear" w:color="auto" w:fill="auto"/>
            <w:noWrap/>
          </w:tcPr>
          <w:p w14:paraId="1B1B12FF"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63</w:t>
            </w:r>
          </w:p>
        </w:tc>
        <w:tc>
          <w:tcPr>
            <w:tcW w:w="6521" w:type="dxa"/>
            <w:tcBorders>
              <w:top w:val="single" w:sz="8" w:space="0" w:color="000000"/>
              <w:left w:val="single" w:sz="8" w:space="0" w:color="000000"/>
              <w:bottom w:val="single" w:sz="8" w:space="0" w:color="000000"/>
              <w:right w:val="single" w:sz="8" w:space="0" w:color="000000"/>
            </w:tcBorders>
            <w:shd w:val="clear" w:color="auto" w:fill="auto"/>
            <w:noWrap/>
          </w:tcPr>
          <w:p w14:paraId="78B4906F" w14:textId="77777777" w:rsidR="00A051DB" w:rsidRDefault="008D76C3">
            <w:pPr>
              <w:widowControl/>
              <w:jc w:val="center"/>
              <w:rPr>
                <w:rFonts w:ascii="Times New Roman" w:eastAsia="SimSun" w:hAnsi="Times New Roman" w:cs="Times New Roman"/>
                <w:color w:val="000000"/>
                <w:kern w:val="0"/>
                <w:szCs w:val="21"/>
              </w:rPr>
            </w:pPr>
            <w:r>
              <w:rPr>
                <w:rFonts w:ascii="Times New Roman" w:eastAsia="SimSun" w:hAnsi="Times New Roman" w:cs="Times New Roman"/>
                <w:color w:val="000000"/>
                <w:kern w:val="0"/>
                <w:szCs w:val="21"/>
              </w:rPr>
              <w:t>Null message</w:t>
            </w:r>
          </w:p>
        </w:tc>
      </w:tr>
    </w:tbl>
    <w:p w14:paraId="5BD87B50" w14:textId="77777777" w:rsidR="00A051DB" w:rsidRDefault="00A051DB">
      <w:pPr>
        <w:rPr>
          <w:lang w:val="en-GB" w:eastAsia="en-GB"/>
        </w:rPr>
      </w:pPr>
    </w:p>
    <w:p w14:paraId="1AFF94D1" w14:textId="77777777" w:rsidR="00A051DB" w:rsidRDefault="008D76C3">
      <w:pPr>
        <w:pStyle w:val="BodyText"/>
        <w:rPr>
          <w:rFonts w:ascii="Calibri" w:hAnsi="Calibri"/>
        </w:rPr>
      </w:pPr>
      <w:r>
        <w:rPr>
          <w:rFonts w:ascii="Calibri" w:hAnsi="Calibri"/>
        </w:rPr>
        <w:t xml:space="preserve">The NAV message data frame of the I component of PPP-B2b signal employs the reserved flags to indicate the status of the PPP service. The "1" in the highest bit of the reserved flags means the PPP service of this </w:t>
      </w:r>
      <w:r>
        <w:rPr>
          <w:rFonts w:ascii="Calibri" w:hAnsi="Calibri"/>
        </w:rPr>
        <w:lastRenderedPageBreak/>
        <w:t>satellite is unavailable and the "0" in the</w:t>
      </w:r>
      <w:r>
        <w:rPr>
          <w:rFonts w:ascii="Calibri" w:hAnsi="Calibri"/>
        </w:rPr>
        <w:t xml:space="preserve"> highest bit of the reserved flags means the PPP service of this satellite is available. For details of the navigation messages, please refer to BDS-SIS-ICD-PPP-B2b-1.0.</w:t>
      </w:r>
    </w:p>
    <w:p w14:paraId="59FCC6DA" w14:textId="77777777" w:rsidR="00A051DB" w:rsidRDefault="008D76C3">
      <w:pPr>
        <w:pStyle w:val="Heading2"/>
      </w:pPr>
      <w:r>
        <w:t xml:space="preserve">BDS PPP Performance Characteristics </w:t>
      </w:r>
    </w:p>
    <w:p w14:paraId="51658A7C" w14:textId="77777777" w:rsidR="00A051DB" w:rsidRDefault="008D76C3">
      <w:pPr>
        <w:keepNext/>
        <w:spacing w:before="120" w:after="120"/>
        <w:outlineLvl w:val="2"/>
        <w:rPr>
          <w:rFonts w:ascii="Calibri" w:hAnsi="Calibri"/>
          <w:sz w:val="22"/>
          <w:szCs w:val="21"/>
        </w:rPr>
      </w:pPr>
      <w:r>
        <w:rPr>
          <w:rFonts w:ascii="Calibri" w:hAnsi="Calibri"/>
          <w:sz w:val="22"/>
          <w:szCs w:val="21"/>
        </w:rPr>
        <w:t>3.3.1 Usage Constraint</w:t>
      </w:r>
    </w:p>
    <w:p w14:paraId="3F7EA976" w14:textId="77777777" w:rsidR="00A051DB" w:rsidRDefault="008D76C3">
      <w:pPr>
        <w:pStyle w:val="BodyText"/>
        <w:rPr>
          <w:rFonts w:ascii="Calibri" w:hAnsi="Calibri"/>
        </w:rPr>
      </w:pPr>
      <w:r>
        <w:rPr>
          <w:rFonts w:ascii="Calibri" w:hAnsi="Calibri"/>
        </w:rPr>
        <w:t>The PPP service performanc</w:t>
      </w:r>
      <w:r>
        <w:rPr>
          <w:rFonts w:ascii="Calibri" w:hAnsi="Calibri"/>
        </w:rPr>
        <w:t>e are based on the following user constraints:</w:t>
      </w:r>
    </w:p>
    <w:p w14:paraId="7937FBB7" w14:textId="77777777" w:rsidR="00A051DB" w:rsidRDefault="008D76C3">
      <w:pPr>
        <w:pStyle w:val="BodyText"/>
        <w:ind w:firstLineChars="200" w:firstLine="440"/>
        <w:rPr>
          <w:rFonts w:ascii="Calibri" w:hAnsi="Calibri"/>
        </w:rPr>
      </w:pPr>
      <w:r>
        <w:rPr>
          <w:rFonts w:ascii="Calibri" w:hAnsi="Calibri"/>
        </w:rPr>
        <w:t>a) The user receiver meets the relevant technical requirements specified in BDS-SIS-ICD-PPP-B2b-1.0, can track and correctly process the dual-frequency RNSS signals and the PPP-B2b signal, and use the augmenta</w:t>
      </w:r>
      <w:r>
        <w:rPr>
          <w:rFonts w:ascii="Calibri" w:hAnsi="Calibri"/>
        </w:rPr>
        <w:t xml:space="preserve">tion information to complete the positioning </w:t>
      </w:r>
      <w:proofErr w:type="gramStart"/>
      <w:r>
        <w:rPr>
          <w:rFonts w:ascii="Calibri" w:hAnsi="Calibri"/>
        </w:rPr>
        <w:t>calculation;</w:t>
      </w:r>
      <w:proofErr w:type="gramEnd"/>
    </w:p>
    <w:p w14:paraId="73C0923D" w14:textId="77777777" w:rsidR="00A051DB" w:rsidRDefault="008D76C3">
      <w:pPr>
        <w:pStyle w:val="BodyText"/>
        <w:ind w:firstLineChars="200" w:firstLine="440"/>
        <w:rPr>
          <w:rFonts w:ascii="Calibri" w:hAnsi="Calibri"/>
        </w:rPr>
      </w:pPr>
      <w:r>
        <w:rPr>
          <w:rFonts w:ascii="Calibri" w:hAnsi="Calibri"/>
        </w:rPr>
        <w:t xml:space="preserve">b) The service is based on </w:t>
      </w:r>
      <w:proofErr w:type="spellStart"/>
      <w:r>
        <w:rPr>
          <w:rFonts w:ascii="Calibri" w:hAnsi="Calibri"/>
        </w:rPr>
        <w:t>BeiDou</w:t>
      </w:r>
      <w:proofErr w:type="spellEnd"/>
      <w:r>
        <w:rPr>
          <w:rFonts w:ascii="Calibri" w:hAnsi="Calibri"/>
        </w:rPr>
        <w:t xml:space="preserve"> Navigation Satellite System Time </w:t>
      </w:r>
      <w:r>
        <w:rPr>
          <w:rFonts w:ascii="Calibri" w:hAnsi="Calibri" w:hint="eastAsia"/>
          <w:lang w:eastAsia="zh-CN"/>
        </w:rPr>
        <w:t>(</w:t>
      </w:r>
      <w:r>
        <w:rPr>
          <w:rFonts w:ascii="Calibri" w:hAnsi="Calibri"/>
        </w:rPr>
        <w:t xml:space="preserve">BDT) and </w:t>
      </w:r>
      <w:proofErr w:type="spellStart"/>
      <w:r>
        <w:rPr>
          <w:rFonts w:ascii="Calibri" w:hAnsi="Calibri"/>
        </w:rPr>
        <w:t>BeiDou</w:t>
      </w:r>
      <w:proofErr w:type="spellEnd"/>
      <w:r>
        <w:rPr>
          <w:rFonts w:ascii="Calibri" w:hAnsi="Calibri"/>
        </w:rPr>
        <w:t xml:space="preserve"> Coordinate System (BDCS</w:t>
      </w:r>
      <w:proofErr w:type="gramStart"/>
      <w:r>
        <w:rPr>
          <w:rFonts w:ascii="Calibri" w:hAnsi="Calibri" w:hint="eastAsia"/>
          <w:lang w:eastAsia="zh-CN"/>
        </w:rPr>
        <w:t>)</w:t>
      </w:r>
      <w:r>
        <w:rPr>
          <w:rFonts w:ascii="Calibri" w:hAnsi="Calibri"/>
        </w:rPr>
        <w:t>;</w:t>
      </w:r>
      <w:proofErr w:type="gramEnd"/>
    </w:p>
    <w:p w14:paraId="3DB72A9E" w14:textId="77777777" w:rsidR="00A051DB" w:rsidRDefault="008D76C3">
      <w:pPr>
        <w:pStyle w:val="BodyText"/>
        <w:ind w:firstLineChars="200" w:firstLine="440"/>
        <w:rPr>
          <w:rFonts w:ascii="Calibri" w:hAnsi="Calibri"/>
        </w:rPr>
      </w:pPr>
      <w:r>
        <w:rPr>
          <w:rFonts w:ascii="Calibri" w:hAnsi="Calibri"/>
        </w:rPr>
        <w:t xml:space="preserve">c) Exclude errors of the signal transmission and the receiving </w:t>
      </w:r>
      <w:proofErr w:type="gramStart"/>
      <w:r>
        <w:rPr>
          <w:rFonts w:ascii="Calibri" w:hAnsi="Calibri"/>
        </w:rPr>
        <w:t>terminal;</w:t>
      </w:r>
      <w:proofErr w:type="gramEnd"/>
    </w:p>
    <w:p w14:paraId="36EABE00" w14:textId="77777777" w:rsidR="00A051DB" w:rsidRDefault="008D76C3">
      <w:pPr>
        <w:pStyle w:val="BodyText"/>
        <w:ind w:firstLineChars="200" w:firstLine="440"/>
        <w:rPr>
          <w:rFonts w:ascii="Calibri" w:hAnsi="Calibri"/>
          <w:lang w:eastAsia="zh-CN"/>
        </w:rPr>
      </w:pPr>
      <w:r>
        <w:rPr>
          <w:rFonts w:ascii="Calibri" w:hAnsi="Calibri"/>
        </w:rPr>
        <w:t>d) When the hig</w:t>
      </w:r>
      <w:r>
        <w:rPr>
          <w:rFonts w:ascii="Calibri" w:hAnsi="Calibri"/>
        </w:rPr>
        <w:t>hest bit of the reserved flags is "1", the PPP information broadcast by the satellite should not be used</w:t>
      </w:r>
      <w:r>
        <w:rPr>
          <w:rFonts w:ascii="Calibri" w:hAnsi="Calibri" w:hint="eastAsia"/>
          <w:lang w:eastAsia="zh-CN"/>
        </w:rPr>
        <w:t>.</w:t>
      </w:r>
    </w:p>
    <w:p w14:paraId="6687CE3B" w14:textId="77777777" w:rsidR="00A051DB" w:rsidRDefault="008D76C3">
      <w:pPr>
        <w:keepNext/>
        <w:spacing w:before="120" w:after="120"/>
        <w:outlineLvl w:val="2"/>
        <w:rPr>
          <w:rFonts w:ascii="Calibri" w:hAnsi="Calibri"/>
          <w:sz w:val="22"/>
          <w:szCs w:val="21"/>
        </w:rPr>
      </w:pPr>
      <w:r>
        <w:rPr>
          <w:rFonts w:ascii="Calibri" w:hAnsi="Calibri"/>
          <w:sz w:val="22"/>
          <w:szCs w:val="21"/>
        </w:rPr>
        <w:t>3.3.2 Positioning Accuracy and</w:t>
      </w:r>
      <w:r>
        <w:rPr>
          <w:rFonts w:ascii="Calibri" w:hAnsi="Calibri" w:hint="eastAsia"/>
          <w:sz w:val="22"/>
          <w:szCs w:val="21"/>
        </w:rPr>
        <w:t xml:space="preserve"> </w:t>
      </w:r>
      <w:r>
        <w:rPr>
          <w:rFonts w:ascii="Calibri" w:hAnsi="Calibri"/>
          <w:sz w:val="22"/>
          <w:szCs w:val="21"/>
        </w:rPr>
        <w:t>Convergence Time</w:t>
      </w:r>
    </w:p>
    <w:p w14:paraId="02FF8B2C" w14:textId="77777777" w:rsidR="00A051DB" w:rsidRDefault="008D76C3">
      <w:pPr>
        <w:pStyle w:val="BodyText"/>
        <w:rPr>
          <w:rFonts w:ascii="Calibri" w:hAnsi="Calibri"/>
        </w:rPr>
      </w:pPr>
      <w:r>
        <w:rPr>
          <w:rFonts w:ascii="Calibri" w:hAnsi="Calibri"/>
        </w:rPr>
        <w:t xml:space="preserve">The main </w:t>
      </w:r>
      <w:r>
        <w:rPr>
          <w:rFonts w:ascii="Calibri" w:hAnsi="Calibri" w:hint="eastAsia"/>
          <w:lang w:eastAsia="zh-CN"/>
        </w:rPr>
        <w:t>PPP</w:t>
      </w:r>
      <w:r>
        <w:rPr>
          <w:rFonts w:ascii="Calibri" w:hAnsi="Calibri"/>
        </w:rPr>
        <w:t xml:space="preserve"> performance standards include the positioning accuracy and the convergence time, etc.</w:t>
      </w:r>
    </w:p>
    <w:p w14:paraId="208AD361" w14:textId="77777777" w:rsidR="00A051DB" w:rsidRDefault="008D76C3">
      <w:pPr>
        <w:pStyle w:val="BodyText"/>
        <w:rPr>
          <w:rFonts w:ascii="Calibri" w:hAnsi="Calibri"/>
          <w:lang w:eastAsia="zh-CN"/>
        </w:rPr>
      </w:pPr>
      <w:r>
        <w:rPr>
          <w:rFonts w:ascii="Calibri" w:hAnsi="Calibri"/>
        </w:rPr>
        <w:t>The positioning accuracy refers to the statistical value of the difference between the user’s reference position and the position determined by using the PPP service. Th</w:t>
      </w:r>
      <w:r>
        <w:rPr>
          <w:rFonts w:ascii="Calibri" w:hAnsi="Calibri"/>
        </w:rPr>
        <w:t>e positioning accuracy includes the horizontal and vertical component respectively</w:t>
      </w:r>
      <w:r>
        <w:rPr>
          <w:rFonts w:ascii="Calibri" w:hAnsi="Calibri" w:hint="eastAsia"/>
          <w:lang w:eastAsia="zh-CN"/>
        </w:rPr>
        <w:t>.</w:t>
      </w:r>
    </w:p>
    <w:p w14:paraId="08DBF328" w14:textId="77777777" w:rsidR="00A051DB" w:rsidRDefault="008D76C3">
      <w:pPr>
        <w:pStyle w:val="BodyText"/>
        <w:rPr>
          <w:rFonts w:ascii="Calibri" w:hAnsi="Calibri"/>
          <w:lang w:eastAsia="zh-CN"/>
        </w:rPr>
      </w:pPr>
      <w:r>
        <w:rPr>
          <w:rFonts w:ascii="Calibri" w:hAnsi="Calibri"/>
          <w:lang w:eastAsia="zh-CN"/>
        </w:rPr>
        <w:t>The convergence time is the time to meet the positioning accuracy requirements for the first time, under the condition that the receiver starts meeting the positioning accu</w:t>
      </w:r>
      <w:r>
        <w:rPr>
          <w:rFonts w:ascii="Calibri" w:hAnsi="Calibri"/>
          <w:lang w:eastAsia="zh-CN"/>
        </w:rPr>
        <w:t>racy and continues for 5 minutes.</w:t>
      </w:r>
    </w:p>
    <w:p w14:paraId="790BF183" w14:textId="77777777" w:rsidR="00A051DB" w:rsidRDefault="008D76C3">
      <w:pPr>
        <w:pStyle w:val="BodyText"/>
        <w:rPr>
          <w:rFonts w:ascii="Calibri" w:hAnsi="Calibri"/>
          <w:lang w:eastAsia="zh-CN"/>
        </w:rPr>
      </w:pPr>
      <w:r>
        <w:rPr>
          <w:rFonts w:ascii="Calibri" w:hAnsi="Calibri"/>
          <w:lang w:eastAsia="zh-CN"/>
        </w:rPr>
        <w:t>3.3.3 Service Performance Standard</w:t>
      </w:r>
    </w:p>
    <w:p w14:paraId="5A3D2054" w14:textId="77777777" w:rsidR="00A051DB" w:rsidRDefault="008D76C3">
      <w:pPr>
        <w:pStyle w:val="BodyText"/>
        <w:rPr>
          <w:rFonts w:ascii="Calibri" w:hAnsi="Calibri"/>
          <w:lang w:eastAsia="zh-CN"/>
        </w:rPr>
      </w:pPr>
      <w:r>
        <w:rPr>
          <w:rFonts w:ascii="Calibri" w:hAnsi="Calibri"/>
          <w:lang w:eastAsia="zh-CN"/>
        </w:rPr>
        <w:t xml:space="preserve">The augmentation service performance for using BDS only or the </w:t>
      </w:r>
      <w:proofErr w:type="gramStart"/>
      <w:r>
        <w:rPr>
          <w:rFonts w:ascii="Calibri" w:hAnsi="Calibri"/>
          <w:lang w:eastAsia="zh-CN"/>
        </w:rPr>
        <w:t>dual-system</w:t>
      </w:r>
      <w:proofErr w:type="gramEnd"/>
      <w:r>
        <w:rPr>
          <w:rFonts w:ascii="Calibri" w:hAnsi="Calibri"/>
          <w:lang w:eastAsia="zh-CN"/>
        </w:rPr>
        <w:t xml:space="preserve"> (BDS+GPS) is presented in Table 2.</w:t>
      </w:r>
    </w:p>
    <w:p w14:paraId="760E2C86" w14:textId="77777777" w:rsidR="00A051DB" w:rsidRDefault="008D76C3">
      <w:pPr>
        <w:pStyle w:val="Figure"/>
        <w:numPr>
          <w:ilvl w:val="0"/>
          <w:numId w:val="3"/>
        </w:numPr>
      </w:pPr>
      <w:r>
        <w:rPr>
          <w:szCs w:val="22"/>
        </w:rPr>
        <w:t xml:space="preserve">Table </w:t>
      </w:r>
      <w:proofErr w:type="gramStart"/>
      <w:r>
        <w:rPr>
          <w:szCs w:val="22"/>
        </w:rPr>
        <w:t>2</w:t>
      </w:r>
      <w:r>
        <w:rPr>
          <w:rFonts w:hint="eastAsia"/>
          <w:szCs w:val="22"/>
        </w:rPr>
        <w:t xml:space="preserve"> </w:t>
      </w:r>
      <w:r>
        <w:rPr>
          <w:szCs w:val="22"/>
        </w:rPr>
        <w:t xml:space="preserve"> The</w:t>
      </w:r>
      <w:proofErr w:type="gramEnd"/>
      <w:r>
        <w:rPr>
          <w:szCs w:val="22"/>
        </w:rPr>
        <w:t xml:space="preserve"> PPP </w:t>
      </w:r>
      <w:r>
        <w:t>Service Performance Standard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54"/>
        <w:gridCol w:w="1670"/>
        <w:gridCol w:w="1131"/>
        <w:gridCol w:w="5673"/>
      </w:tblGrid>
      <w:tr w:rsidR="00A051DB" w14:paraId="70761AC5" w14:textId="77777777">
        <w:trPr>
          <w:trHeight w:val="762"/>
          <w:tblHeader/>
          <w:jc w:val="center"/>
        </w:trPr>
        <w:tc>
          <w:tcPr>
            <w:tcW w:w="0" w:type="auto"/>
            <w:shd w:val="clear" w:color="auto" w:fill="FFFFFF"/>
            <w:vAlign w:val="center"/>
          </w:tcPr>
          <w:p w14:paraId="18CF141B" w14:textId="77777777" w:rsidR="00A051DB" w:rsidRDefault="008D76C3">
            <w:pPr>
              <w:pStyle w:val="Other1"/>
              <w:jc w:val="left"/>
              <w:rPr>
                <w:sz w:val="20"/>
                <w:szCs w:val="20"/>
              </w:rPr>
            </w:pPr>
            <w:r>
              <w:rPr>
                <w:b/>
                <w:bCs/>
                <w:sz w:val="20"/>
                <w:szCs w:val="20"/>
              </w:rPr>
              <w:t>Constellation</w:t>
            </w:r>
          </w:p>
        </w:tc>
        <w:tc>
          <w:tcPr>
            <w:tcW w:w="0" w:type="auto"/>
            <w:shd w:val="clear" w:color="auto" w:fill="FFFFFF"/>
            <w:vAlign w:val="bottom"/>
          </w:tcPr>
          <w:p w14:paraId="5B431A5C" w14:textId="77777777" w:rsidR="00A051DB" w:rsidRDefault="008D76C3">
            <w:pPr>
              <w:pStyle w:val="Other1"/>
              <w:rPr>
                <w:sz w:val="20"/>
                <w:szCs w:val="20"/>
              </w:rPr>
            </w:pPr>
            <w:r>
              <w:rPr>
                <w:b/>
                <w:bCs/>
                <w:sz w:val="20"/>
                <w:szCs w:val="20"/>
              </w:rPr>
              <w:t>Performance</w:t>
            </w:r>
          </w:p>
          <w:p w14:paraId="3857315C" w14:textId="77777777" w:rsidR="00A051DB" w:rsidRDefault="008D76C3">
            <w:pPr>
              <w:pStyle w:val="Other1"/>
              <w:rPr>
                <w:sz w:val="20"/>
                <w:szCs w:val="20"/>
              </w:rPr>
            </w:pPr>
            <w:r>
              <w:rPr>
                <w:b/>
                <w:bCs/>
                <w:sz w:val="20"/>
                <w:szCs w:val="20"/>
              </w:rPr>
              <w:t>Chara</w:t>
            </w:r>
            <w:r>
              <w:rPr>
                <w:b/>
                <w:bCs/>
                <w:sz w:val="20"/>
                <w:szCs w:val="20"/>
              </w:rPr>
              <w:t>cteristics</w:t>
            </w:r>
          </w:p>
        </w:tc>
        <w:tc>
          <w:tcPr>
            <w:tcW w:w="0" w:type="auto"/>
            <w:shd w:val="clear" w:color="auto" w:fill="FFFFFF"/>
            <w:vAlign w:val="bottom"/>
          </w:tcPr>
          <w:p w14:paraId="040D6C85" w14:textId="77777777" w:rsidR="00A051DB" w:rsidRDefault="008D76C3">
            <w:pPr>
              <w:pStyle w:val="Other1"/>
              <w:rPr>
                <w:sz w:val="20"/>
                <w:szCs w:val="20"/>
              </w:rPr>
            </w:pPr>
            <w:r>
              <w:rPr>
                <w:b/>
                <w:bCs/>
                <w:sz w:val="20"/>
                <w:szCs w:val="20"/>
              </w:rPr>
              <w:t>Performance</w:t>
            </w:r>
          </w:p>
          <w:p w14:paraId="1208D27B" w14:textId="77777777" w:rsidR="00A051DB" w:rsidRDefault="008D76C3">
            <w:pPr>
              <w:pStyle w:val="Other1"/>
              <w:rPr>
                <w:sz w:val="20"/>
                <w:szCs w:val="20"/>
              </w:rPr>
            </w:pPr>
            <w:r>
              <w:rPr>
                <w:b/>
                <w:bCs/>
                <w:sz w:val="20"/>
                <w:szCs w:val="20"/>
              </w:rPr>
              <w:t>Standard</w:t>
            </w:r>
          </w:p>
        </w:tc>
        <w:tc>
          <w:tcPr>
            <w:tcW w:w="0" w:type="auto"/>
            <w:shd w:val="clear" w:color="auto" w:fill="FFFFFF"/>
            <w:vAlign w:val="center"/>
          </w:tcPr>
          <w:p w14:paraId="777F79F1" w14:textId="77777777" w:rsidR="00A051DB" w:rsidRDefault="008D76C3">
            <w:pPr>
              <w:pStyle w:val="Other1"/>
              <w:rPr>
                <w:sz w:val="20"/>
                <w:szCs w:val="20"/>
              </w:rPr>
            </w:pPr>
            <w:r>
              <w:rPr>
                <w:b/>
                <w:bCs/>
                <w:sz w:val="20"/>
                <w:szCs w:val="20"/>
              </w:rPr>
              <w:t>Constraints</w:t>
            </w:r>
          </w:p>
        </w:tc>
      </w:tr>
      <w:tr w:rsidR="00A051DB" w14:paraId="2D42AB15" w14:textId="77777777">
        <w:trPr>
          <w:trHeight w:val="1154"/>
          <w:jc w:val="center"/>
        </w:trPr>
        <w:tc>
          <w:tcPr>
            <w:tcW w:w="0" w:type="auto"/>
            <w:vMerge w:val="restart"/>
            <w:shd w:val="clear" w:color="auto" w:fill="FFFFFF"/>
            <w:vAlign w:val="center"/>
          </w:tcPr>
          <w:p w14:paraId="7DEDDA18" w14:textId="77777777" w:rsidR="00A051DB" w:rsidRDefault="008D76C3">
            <w:pPr>
              <w:pStyle w:val="Other1"/>
              <w:rPr>
                <w:sz w:val="20"/>
                <w:szCs w:val="20"/>
              </w:rPr>
            </w:pPr>
            <w:r>
              <w:rPr>
                <w:sz w:val="20"/>
                <w:szCs w:val="20"/>
              </w:rPr>
              <w:t>BDS</w:t>
            </w:r>
          </w:p>
        </w:tc>
        <w:tc>
          <w:tcPr>
            <w:tcW w:w="0" w:type="auto"/>
            <w:shd w:val="clear" w:color="auto" w:fill="FFFFFF"/>
            <w:vAlign w:val="center"/>
          </w:tcPr>
          <w:p w14:paraId="28D4C587" w14:textId="77777777" w:rsidR="00A051DB" w:rsidRDefault="008D76C3">
            <w:pPr>
              <w:pStyle w:val="Other1"/>
              <w:rPr>
                <w:sz w:val="20"/>
                <w:szCs w:val="20"/>
              </w:rPr>
            </w:pPr>
            <w:r>
              <w:rPr>
                <w:sz w:val="20"/>
                <w:szCs w:val="20"/>
              </w:rPr>
              <w:t>Horizontal Positioning</w:t>
            </w:r>
          </w:p>
          <w:p w14:paraId="05AA9ACC" w14:textId="77777777" w:rsidR="00A051DB" w:rsidRDefault="008D76C3">
            <w:pPr>
              <w:pStyle w:val="Other1"/>
              <w:rPr>
                <w:sz w:val="20"/>
                <w:szCs w:val="20"/>
              </w:rPr>
            </w:pPr>
            <w:r>
              <w:rPr>
                <w:sz w:val="20"/>
                <w:szCs w:val="20"/>
              </w:rPr>
              <w:t>Accuracy (95%)</w:t>
            </w:r>
          </w:p>
        </w:tc>
        <w:tc>
          <w:tcPr>
            <w:tcW w:w="0" w:type="auto"/>
            <w:shd w:val="clear" w:color="auto" w:fill="FFFFFF"/>
            <w:vAlign w:val="center"/>
          </w:tcPr>
          <w:p w14:paraId="7D0133E9" w14:textId="77777777" w:rsidR="00A051DB" w:rsidRDefault="008D76C3">
            <w:pPr>
              <w:pStyle w:val="Other1"/>
              <w:rPr>
                <w:sz w:val="20"/>
                <w:szCs w:val="20"/>
              </w:rPr>
            </w:pPr>
            <w:r>
              <w:rPr>
                <w:rFonts w:hint="eastAsia"/>
                <w:sz w:val="20"/>
                <w:szCs w:val="20"/>
              </w:rPr>
              <w:t>≤</w:t>
            </w:r>
            <w:r>
              <w:rPr>
                <w:rFonts w:hint="eastAsia"/>
                <w:sz w:val="20"/>
                <w:szCs w:val="20"/>
              </w:rPr>
              <w:t>0</w:t>
            </w:r>
            <w:r>
              <w:rPr>
                <w:sz w:val="20"/>
                <w:szCs w:val="20"/>
              </w:rPr>
              <w:t>.3m</w:t>
            </w:r>
          </w:p>
        </w:tc>
        <w:tc>
          <w:tcPr>
            <w:tcW w:w="0" w:type="auto"/>
            <w:vMerge w:val="restart"/>
            <w:shd w:val="clear" w:color="auto" w:fill="FFFFFF"/>
            <w:vAlign w:val="bottom"/>
          </w:tcPr>
          <w:p w14:paraId="32316D81" w14:textId="77777777" w:rsidR="00A051DB" w:rsidRDefault="008D76C3">
            <w:pPr>
              <w:pStyle w:val="Other1"/>
              <w:jc w:val="both"/>
              <w:rPr>
                <w:sz w:val="20"/>
                <w:szCs w:val="20"/>
              </w:rPr>
            </w:pPr>
            <w:r>
              <w:rPr>
                <w:sz w:val="20"/>
                <w:szCs w:val="20"/>
              </w:rPr>
              <w:t>The correction targets: PPP-B2b information is used to correct the CNAV1 NAV message of the BDS BIC signal and the LNAV NAV message of the GPS L1C/A signal;</w:t>
            </w:r>
          </w:p>
        </w:tc>
      </w:tr>
      <w:tr w:rsidR="00A051DB" w14:paraId="64747506" w14:textId="77777777">
        <w:trPr>
          <w:trHeight w:val="1142"/>
          <w:jc w:val="center"/>
        </w:trPr>
        <w:tc>
          <w:tcPr>
            <w:tcW w:w="0" w:type="auto"/>
            <w:vMerge/>
            <w:vAlign w:val="center"/>
          </w:tcPr>
          <w:p w14:paraId="71AA0776" w14:textId="77777777" w:rsidR="00A051DB" w:rsidRDefault="00A051DB">
            <w:pPr>
              <w:widowControl/>
              <w:rPr>
                <w:rFonts w:eastAsia="SimSun"/>
                <w:color w:val="000000"/>
                <w:sz w:val="20"/>
                <w:szCs w:val="20"/>
              </w:rPr>
            </w:pPr>
          </w:p>
        </w:tc>
        <w:tc>
          <w:tcPr>
            <w:tcW w:w="0" w:type="auto"/>
            <w:shd w:val="clear" w:color="auto" w:fill="FFFFFF"/>
            <w:vAlign w:val="center"/>
          </w:tcPr>
          <w:p w14:paraId="22ED3AF9" w14:textId="77777777" w:rsidR="00A051DB" w:rsidRDefault="008D76C3">
            <w:pPr>
              <w:pStyle w:val="Other1"/>
              <w:rPr>
                <w:sz w:val="20"/>
                <w:szCs w:val="20"/>
              </w:rPr>
            </w:pPr>
            <w:r>
              <w:rPr>
                <w:sz w:val="20"/>
                <w:szCs w:val="20"/>
              </w:rPr>
              <w:t>Vertical Positioning</w:t>
            </w:r>
          </w:p>
          <w:p w14:paraId="01FC14BD" w14:textId="77777777" w:rsidR="00A051DB" w:rsidRDefault="008D76C3">
            <w:pPr>
              <w:pStyle w:val="Other1"/>
              <w:rPr>
                <w:sz w:val="20"/>
                <w:szCs w:val="20"/>
              </w:rPr>
            </w:pPr>
            <w:r>
              <w:rPr>
                <w:sz w:val="20"/>
                <w:szCs w:val="20"/>
              </w:rPr>
              <w:t>Accuracy (95%)</w:t>
            </w:r>
          </w:p>
        </w:tc>
        <w:tc>
          <w:tcPr>
            <w:tcW w:w="0" w:type="auto"/>
            <w:shd w:val="clear" w:color="auto" w:fill="FFFFFF"/>
            <w:vAlign w:val="center"/>
          </w:tcPr>
          <w:p w14:paraId="3EB44591" w14:textId="77777777" w:rsidR="00A051DB" w:rsidRDefault="008D76C3">
            <w:pPr>
              <w:pStyle w:val="Other1"/>
              <w:rPr>
                <w:sz w:val="20"/>
                <w:szCs w:val="20"/>
              </w:rPr>
            </w:pPr>
            <w:r>
              <w:rPr>
                <w:rFonts w:hint="eastAsia"/>
                <w:sz w:val="20"/>
                <w:szCs w:val="20"/>
              </w:rPr>
              <w:t>≤</w:t>
            </w:r>
            <w:r>
              <w:rPr>
                <w:color w:val="432B22"/>
                <w:sz w:val="20"/>
                <w:szCs w:val="20"/>
              </w:rPr>
              <w:t>0.6m</w:t>
            </w:r>
          </w:p>
        </w:tc>
        <w:tc>
          <w:tcPr>
            <w:tcW w:w="0" w:type="auto"/>
            <w:vMerge/>
            <w:vAlign w:val="center"/>
          </w:tcPr>
          <w:p w14:paraId="24DD9A48" w14:textId="77777777" w:rsidR="00A051DB" w:rsidRDefault="00A051DB">
            <w:pPr>
              <w:widowControl/>
              <w:rPr>
                <w:rFonts w:eastAsia="SimSun"/>
                <w:color w:val="000000"/>
                <w:sz w:val="20"/>
                <w:szCs w:val="20"/>
              </w:rPr>
            </w:pPr>
          </w:p>
        </w:tc>
      </w:tr>
      <w:tr w:rsidR="00A051DB" w14:paraId="20E84AC1" w14:textId="77777777">
        <w:trPr>
          <w:trHeight w:val="1166"/>
          <w:jc w:val="center"/>
        </w:trPr>
        <w:tc>
          <w:tcPr>
            <w:tcW w:w="0" w:type="auto"/>
            <w:vMerge/>
            <w:vAlign w:val="center"/>
          </w:tcPr>
          <w:p w14:paraId="62BA6236" w14:textId="77777777" w:rsidR="00A051DB" w:rsidRDefault="00A051DB">
            <w:pPr>
              <w:widowControl/>
              <w:rPr>
                <w:rFonts w:eastAsia="SimSun"/>
                <w:color w:val="000000"/>
                <w:sz w:val="20"/>
                <w:szCs w:val="20"/>
              </w:rPr>
            </w:pPr>
          </w:p>
        </w:tc>
        <w:tc>
          <w:tcPr>
            <w:tcW w:w="0" w:type="auto"/>
            <w:shd w:val="clear" w:color="auto" w:fill="FFFFFF"/>
            <w:vAlign w:val="center"/>
          </w:tcPr>
          <w:p w14:paraId="23569533" w14:textId="77777777" w:rsidR="00A051DB" w:rsidRDefault="008D76C3">
            <w:pPr>
              <w:pStyle w:val="Other1"/>
              <w:rPr>
                <w:sz w:val="20"/>
                <w:szCs w:val="20"/>
              </w:rPr>
            </w:pPr>
            <w:r>
              <w:rPr>
                <w:sz w:val="20"/>
                <w:szCs w:val="20"/>
              </w:rPr>
              <w:t>Convergence Time</w:t>
            </w:r>
          </w:p>
        </w:tc>
        <w:tc>
          <w:tcPr>
            <w:tcW w:w="0" w:type="auto"/>
            <w:shd w:val="clear" w:color="auto" w:fill="FFFFFF"/>
            <w:vAlign w:val="center"/>
          </w:tcPr>
          <w:p w14:paraId="4BA6885D" w14:textId="77777777" w:rsidR="00A051DB" w:rsidRDefault="008D76C3">
            <w:pPr>
              <w:pStyle w:val="Other1"/>
              <w:rPr>
                <w:sz w:val="20"/>
                <w:szCs w:val="20"/>
              </w:rPr>
            </w:pPr>
            <w:r>
              <w:rPr>
                <w:rFonts w:hint="eastAsia"/>
                <w:sz w:val="20"/>
                <w:szCs w:val="20"/>
              </w:rPr>
              <w:t>≤</w:t>
            </w:r>
            <w:r>
              <w:rPr>
                <w:sz w:val="20"/>
                <w:szCs w:val="20"/>
              </w:rPr>
              <w:t>30min</w:t>
            </w:r>
          </w:p>
        </w:tc>
        <w:tc>
          <w:tcPr>
            <w:tcW w:w="0" w:type="auto"/>
            <w:vMerge w:val="restart"/>
            <w:shd w:val="clear" w:color="auto" w:fill="FFFFFF"/>
          </w:tcPr>
          <w:p w14:paraId="4ECA3286" w14:textId="77777777" w:rsidR="00A051DB" w:rsidRDefault="008D76C3">
            <w:pPr>
              <w:pStyle w:val="Other1"/>
              <w:jc w:val="both"/>
              <w:rPr>
                <w:sz w:val="20"/>
                <w:szCs w:val="20"/>
              </w:rPr>
            </w:pPr>
            <w:r>
              <w:rPr>
                <w:sz w:val="20"/>
                <w:szCs w:val="20"/>
              </w:rPr>
              <w:t xml:space="preserve">Requirements for the correction targets: the BDS RNSS service performance meets the requirements of </w:t>
            </w:r>
            <w:proofErr w:type="spellStart"/>
            <w:r>
              <w:rPr>
                <w:sz w:val="20"/>
                <w:szCs w:val="20"/>
              </w:rPr>
              <w:t>BeiDou</w:t>
            </w:r>
            <w:proofErr w:type="spellEnd"/>
            <w:r>
              <w:rPr>
                <w:sz w:val="20"/>
                <w:szCs w:val="20"/>
              </w:rPr>
              <w:t xml:space="preserve"> Navigation Satellite System Open Service Performance Standard (Version 3.0); GPS </w:t>
            </w:r>
            <w:r>
              <w:rPr>
                <w:sz w:val="20"/>
                <w:szCs w:val="20"/>
              </w:rPr>
              <w:lastRenderedPageBreak/>
              <w:t>service performance meets the requirements of "GPS Standard Position</w:t>
            </w:r>
            <w:r>
              <w:rPr>
                <w:sz w:val="20"/>
                <w:szCs w:val="20"/>
              </w:rPr>
              <w:t xml:space="preserve">ing Service Performance Standard (Version 5.0)". </w:t>
            </w:r>
          </w:p>
          <w:p w14:paraId="3E01173F" w14:textId="77777777" w:rsidR="00A051DB" w:rsidRDefault="008D76C3">
            <w:pPr>
              <w:pStyle w:val="Other1"/>
              <w:jc w:val="both"/>
              <w:rPr>
                <w:sz w:val="20"/>
                <w:szCs w:val="20"/>
              </w:rPr>
            </w:pPr>
            <w:r>
              <w:rPr>
                <w:sz w:val="20"/>
                <w:szCs w:val="20"/>
              </w:rPr>
              <w:t xml:space="preserve">Elevation mask is 10 </w:t>
            </w:r>
            <w:proofErr w:type="gramStart"/>
            <w:r>
              <w:rPr>
                <w:sz w:val="20"/>
                <w:szCs w:val="20"/>
              </w:rPr>
              <w:t>degrees;</w:t>
            </w:r>
            <w:proofErr w:type="gramEnd"/>
            <w:r>
              <w:rPr>
                <w:sz w:val="20"/>
                <w:szCs w:val="20"/>
              </w:rPr>
              <w:t xml:space="preserve"> </w:t>
            </w:r>
          </w:p>
          <w:p w14:paraId="4AE59A30" w14:textId="77777777" w:rsidR="00A051DB" w:rsidRDefault="008D76C3">
            <w:pPr>
              <w:pStyle w:val="Other1"/>
              <w:jc w:val="both"/>
              <w:rPr>
                <w:sz w:val="20"/>
                <w:szCs w:val="20"/>
              </w:rPr>
            </w:pPr>
            <w:proofErr w:type="gramStart"/>
            <w:r>
              <w:rPr>
                <w:sz w:val="20"/>
                <w:szCs w:val="20"/>
              </w:rPr>
              <w:t>Dual-frequency</w:t>
            </w:r>
            <w:proofErr w:type="gramEnd"/>
            <w:r>
              <w:rPr>
                <w:sz w:val="20"/>
                <w:szCs w:val="20"/>
              </w:rPr>
              <w:t xml:space="preserve"> positioning;</w:t>
            </w:r>
          </w:p>
          <w:p w14:paraId="6558F628" w14:textId="77777777" w:rsidR="00A051DB" w:rsidRDefault="008D76C3">
            <w:pPr>
              <w:pStyle w:val="Other1"/>
              <w:jc w:val="both"/>
              <w:rPr>
                <w:sz w:val="20"/>
                <w:szCs w:val="20"/>
              </w:rPr>
            </w:pPr>
            <w:r>
              <w:rPr>
                <w:sz w:val="20"/>
                <w:szCs w:val="20"/>
              </w:rPr>
              <w:t>The statistical time interval is 7 days, and all points in the service area are averaged.</w:t>
            </w:r>
          </w:p>
        </w:tc>
      </w:tr>
      <w:tr w:rsidR="00A051DB" w14:paraId="5C7D2581" w14:textId="77777777">
        <w:trPr>
          <w:trHeight w:val="1166"/>
          <w:jc w:val="center"/>
        </w:trPr>
        <w:tc>
          <w:tcPr>
            <w:tcW w:w="0" w:type="auto"/>
            <w:vMerge w:val="restart"/>
            <w:shd w:val="clear" w:color="auto" w:fill="FFFFFF"/>
            <w:vAlign w:val="center"/>
          </w:tcPr>
          <w:p w14:paraId="0A888903" w14:textId="77777777" w:rsidR="00A051DB" w:rsidRDefault="008D76C3">
            <w:pPr>
              <w:pStyle w:val="Other1"/>
              <w:rPr>
                <w:sz w:val="20"/>
                <w:szCs w:val="20"/>
              </w:rPr>
            </w:pPr>
            <w:r>
              <w:rPr>
                <w:sz w:val="20"/>
                <w:szCs w:val="20"/>
              </w:rPr>
              <w:lastRenderedPageBreak/>
              <w:t>BDS+GPS</w:t>
            </w:r>
          </w:p>
        </w:tc>
        <w:tc>
          <w:tcPr>
            <w:tcW w:w="0" w:type="auto"/>
            <w:shd w:val="clear" w:color="auto" w:fill="FFFFFF"/>
            <w:vAlign w:val="center"/>
          </w:tcPr>
          <w:p w14:paraId="32FCE2BA" w14:textId="77777777" w:rsidR="00A051DB" w:rsidRDefault="008D76C3">
            <w:pPr>
              <w:pStyle w:val="Other1"/>
              <w:rPr>
                <w:sz w:val="20"/>
                <w:szCs w:val="20"/>
              </w:rPr>
            </w:pPr>
            <w:r>
              <w:rPr>
                <w:sz w:val="20"/>
                <w:szCs w:val="20"/>
              </w:rPr>
              <w:t>Horizontal Positioning Accuracy (95%)</w:t>
            </w:r>
          </w:p>
        </w:tc>
        <w:tc>
          <w:tcPr>
            <w:tcW w:w="0" w:type="auto"/>
            <w:shd w:val="clear" w:color="auto" w:fill="FFFFFF"/>
            <w:vAlign w:val="center"/>
          </w:tcPr>
          <w:p w14:paraId="2A92BA9C" w14:textId="77777777" w:rsidR="00A051DB" w:rsidRDefault="008D76C3">
            <w:pPr>
              <w:pStyle w:val="Other1"/>
              <w:rPr>
                <w:sz w:val="20"/>
                <w:szCs w:val="20"/>
              </w:rPr>
            </w:pPr>
            <w:r>
              <w:rPr>
                <w:rFonts w:hint="eastAsia"/>
                <w:sz w:val="20"/>
                <w:szCs w:val="20"/>
              </w:rPr>
              <w:t>≤</w:t>
            </w:r>
            <w:r>
              <w:rPr>
                <w:sz w:val="20"/>
                <w:szCs w:val="20"/>
              </w:rPr>
              <w:t>0.2m</w:t>
            </w:r>
          </w:p>
        </w:tc>
        <w:tc>
          <w:tcPr>
            <w:tcW w:w="0" w:type="auto"/>
            <w:vMerge/>
            <w:vAlign w:val="center"/>
          </w:tcPr>
          <w:p w14:paraId="5A0DBF9F" w14:textId="77777777" w:rsidR="00A051DB" w:rsidRDefault="00A051DB">
            <w:pPr>
              <w:widowControl/>
              <w:rPr>
                <w:rFonts w:eastAsia="SimSun"/>
                <w:color w:val="000000"/>
                <w:sz w:val="20"/>
                <w:szCs w:val="20"/>
              </w:rPr>
            </w:pPr>
          </w:p>
        </w:tc>
      </w:tr>
      <w:tr w:rsidR="00A051DB" w14:paraId="4D263274" w14:textId="77777777">
        <w:trPr>
          <w:trHeight w:val="1154"/>
          <w:jc w:val="center"/>
        </w:trPr>
        <w:tc>
          <w:tcPr>
            <w:tcW w:w="0" w:type="auto"/>
            <w:vMerge/>
            <w:vAlign w:val="center"/>
          </w:tcPr>
          <w:p w14:paraId="4814B189" w14:textId="77777777" w:rsidR="00A051DB" w:rsidRDefault="00A051DB">
            <w:pPr>
              <w:widowControl/>
              <w:rPr>
                <w:rFonts w:eastAsia="SimSun"/>
                <w:color w:val="000000"/>
                <w:sz w:val="20"/>
                <w:szCs w:val="20"/>
              </w:rPr>
            </w:pPr>
          </w:p>
        </w:tc>
        <w:tc>
          <w:tcPr>
            <w:tcW w:w="0" w:type="auto"/>
            <w:shd w:val="clear" w:color="auto" w:fill="FFFFFF"/>
            <w:vAlign w:val="center"/>
          </w:tcPr>
          <w:p w14:paraId="5CEBAF48" w14:textId="77777777" w:rsidR="00A051DB" w:rsidRDefault="008D76C3">
            <w:pPr>
              <w:pStyle w:val="Other1"/>
              <w:rPr>
                <w:sz w:val="20"/>
                <w:szCs w:val="20"/>
              </w:rPr>
            </w:pPr>
            <w:r>
              <w:rPr>
                <w:sz w:val="20"/>
                <w:szCs w:val="20"/>
              </w:rPr>
              <w:t>Vertical Positioning</w:t>
            </w:r>
          </w:p>
          <w:p w14:paraId="58B0472E" w14:textId="77777777" w:rsidR="00A051DB" w:rsidRDefault="008D76C3">
            <w:pPr>
              <w:pStyle w:val="Other1"/>
              <w:rPr>
                <w:sz w:val="20"/>
                <w:szCs w:val="20"/>
              </w:rPr>
            </w:pPr>
            <w:r>
              <w:rPr>
                <w:sz w:val="20"/>
                <w:szCs w:val="20"/>
              </w:rPr>
              <w:t>Accuracy (95%)</w:t>
            </w:r>
          </w:p>
        </w:tc>
        <w:tc>
          <w:tcPr>
            <w:tcW w:w="0" w:type="auto"/>
            <w:shd w:val="clear" w:color="auto" w:fill="FFFFFF"/>
            <w:vAlign w:val="center"/>
          </w:tcPr>
          <w:p w14:paraId="7DA78A5F" w14:textId="77777777" w:rsidR="00A051DB" w:rsidRDefault="008D76C3">
            <w:pPr>
              <w:pStyle w:val="Other1"/>
              <w:rPr>
                <w:sz w:val="20"/>
                <w:szCs w:val="20"/>
              </w:rPr>
            </w:pPr>
            <w:r>
              <w:rPr>
                <w:rFonts w:hint="eastAsia"/>
                <w:sz w:val="20"/>
                <w:szCs w:val="20"/>
              </w:rPr>
              <w:t>≤</w:t>
            </w:r>
            <w:r>
              <w:rPr>
                <w:sz w:val="20"/>
                <w:szCs w:val="20"/>
              </w:rPr>
              <w:t>0.4m</w:t>
            </w:r>
          </w:p>
        </w:tc>
        <w:tc>
          <w:tcPr>
            <w:tcW w:w="0" w:type="auto"/>
            <w:vMerge/>
            <w:vAlign w:val="center"/>
          </w:tcPr>
          <w:p w14:paraId="1F745679" w14:textId="77777777" w:rsidR="00A051DB" w:rsidRDefault="00A051DB">
            <w:pPr>
              <w:widowControl/>
              <w:rPr>
                <w:rFonts w:eastAsia="SimSun"/>
                <w:color w:val="000000"/>
                <w:sz w:val="20"/>
                <w:szCs w:val="20"/>
              </w:rPr>
            </w:pPr>
          </w:p>
        </w:tc>
      </w:tr>
      <w:tr w:rsidR="00A051DB" w14:paraId="39B3AA09" w14:textId="77777777">
        <w:trPr>
          <w:trHeight w:val="1178"/>
          <w:jc w:val="center"/>
        </w:trPr>
        <w:tc>
          <w:tcPr>
            <w:tcW w:w="0" w:type="auto"/>
            <w:vMerge/>
            <w:vAlign w:val="center"/>
          </w:tcPr>
          <w:p w14:paraId="4D6A6574" w14:textId="77777777" w:rsidR="00A051DB" w:rsidRDefault="00A051DB">
            <w:pPr>
              <w:widowControl/>
              <w:rPr>
                <w:rFonts w:eastAsia="SimSun"/>
                <w:color w:val="000000"/>
                <w:sz w:val="20"/>
                <w:szCs w:val="20"/>
              </w:rPr>
            </w:pPr>
          </w:p>
        </w:tc>
        <w:tc>
          <w:tcPr>
            <w:tcW w:w="0" w:type="auto"/>
            <w:shd w:val="clear" w:color="auto" w:fill="FFFFFF"/>
            <w:vAlign w:val="center"/>
          </w:tcPr>
          <w:p w14:paraId="05C300C4" w14:textId="77777777" w:rsidR="00A051DB" w:rsidRDefault="008D76C3">
            <w:pPr>
              <w:pStyle w:val="Other1"/>
              <w:rPr>
                <w:sz w:val="20"/>
                <w:szCs w:val="20"/>
              </w:rPr>
            </w:pPr>
            <w:r>
              <w:rPr>
                <w:sz w:val="20"/>
                <w:szCs w:val="20"/>
              </w:rPr>
              <w:t>Convergence Time</w:t>
            </w:r>
          </w:p>
        </w:tc>
        <w:tc>
          <w:tcPr>
            <w:tcW w:w="0" w:type="auto"/>
            <w:shd w:val="clear" w:color="auto" w:fill="FFFFFF"/>
            <w:vAlign w:val="center"/>
          </w:tcPr>
          <w:p w14:paraId="250108B7" w14:textId="77777777" w:rsidR="00A051DB" w:rsidRDefault="008D76C3">
            <w:pPr>
              <w:pStyle w:val="Other1"/>
              <w:rPr>
                <w:sz w:val="20"/>
                <w:szCs w:val="20"/>
              </w:rPr>
            </w:pPr>
            <w:r>
              <w:rPr>
                <w:rFonts w:hint="eastAsia"/>
                <w:sz w:val="20"/>
                <w:szCs w:val="20"/>
              </w:rPr>
              <w:t>≤</w:t>
            </w:r>
            <w:r>
              <w:rPr>
                <w:sz w:val="20"/>
                <w:szCs w:val="20"/>
              </w:rPr>
              <w:t>20min</w:t>
            </w:r>
          </w:p>
        </w:tc>
        <w:tc>
          <w:tcPr>
            <w:tcW w:w="0" w:type="auto"/>
            <w:vMerge/>
            <w:vAlign w:val="center"/>
          </w:tcPr>
          <w:p w14:paraId="33B82016" w14:textId="77777777" w:rsidR="00A051DB" w:rsidRDefault="00A051DB">
            <w:pPr>
              <w:widowControl/>
              <w:rPr>
                <w:rFonts w:eastAsia="SimSun"/>
                <w:color w:val="000000"/>
                <w:sz w:val="20"/>
                <w:szCs w:val="20"/>
              </w:rPr>
            </w:pPr>
          </w:p>
        </w:tc>
      </w:tr>
    </w:tbl>
    <w:p w14:paraId="3C8EDE08" w14:textId="77777777" w:rsidR="00A051DB" w:rsidRDefault="008D76C3">
      <w:pPr>
        <w:pStyle w:val="Heading1"/>
      </w:pPr>
      <w:r>
        <w:t>Action requested of the Committee</w:t>
      </w:r>
    </w:p>
    <w:p w14:paraId="4FE8ACAD" w14:textId="77777777" w:rsidR="00A051DB" w:rsidRDefault="008D76C3">
      <w:pPr>
        <w:pStyle w:val="BodyText"/>
        <w:rPr>
          <w:rFonts w:ascii="Calibri" w:hAnsi="Calibri"/>
        </w:rPr>
      </w:pPr>
      <w:r>
        <w:rPr>
          <w:rFonts w:ascii="Calibri" w:hAnsi="Calibri"/>
        </w:rPr>
        <w:t xml:space="preserve">The Committee is invited: </w:t>
      </w:r>
    </w:p>
    <w:p w14:paraId="2C354589" w14:textId="0F528E29" w:rsidR="00A051DB" w:rsidRDefault="008D76C3">
      <w:pPr>
        <w:pStyle w:val="BodyText"/>
        <w:ind w:leftChars="200" w:left="420"/>
        <w:rPr>
          <w:rFonts w:ascii="Calibri" w:hAnsi="Calibri"/>
        </w:rPr>
      </w:pPr>
      <w:r>
        <w:rPr>
          <w:rFonts w:ascii="Calibri" w:hAnsi="Calibri"/>
        </w:rPr>
        <w:t xml:space="preserve">.1 to </w:t>
      </w:r>
      <w:r w:rsidR="005C5FC4">
        <w:rPr>
          <w:rFonts w:ascii="Calibri" w:hAnsi="Calibri" w:hint="eastAsia"/>
          <w:lang w:eastAsia="zh-CN"/>
        </w:rPr>
        <w:t>note</w:t>
      </w:r>
      <w:r>
        <w:rPr>
          <w:rFonts w:ascii="Calibri" w:hAnsi="Calibri"/>
        </w:rPr>
        <w:t xml:space="preserve"> the information provided in the paper</w:t>
      </w:r>
      <w:r w:rsidR="005C5FC4">
        <w:rPr>
          <w:rFonts w:ascii="Calibri" w:hAnsi="Calibri"/>
        </w:rPr>
        <w:t>;</w:t>
      </w:r>
      <w:r w:rsidR="00543265">
        <w:rPr>
          <w:rFonts w:ascii="Calibri" w:hAnsi="Calibri"/>
        </w:rPr>
        <w:t xml:space="preserve"> </w:t>
      </w:r>
      <w:r w:rsidR="00543265">
        <w:rPr>
          <w:rFonts w:ascii="Calibri" w:hAnsi="Calibri" w:hint="eastAsia"/>
          <w:lang w:eastAsia="zh-CN"/>
        </w:rPr>
        <w:t>a</w:t>
      </w:r>
      <w:r w:rsidR="00543265">
        <w:rPr>
          <w:rFonts w:ascii="Calibri" w:hAnsi="Calibri"/>
        </w:rPr>
        <w:t xml:space="preserve">nd, </w:t>
      </w:r>
    </w:p>
    <w:p w14:paraId="6DA590E7" w14:textId="0E0A9205" w:rsidR="00A051DB" w:rsidRPr="00543265" w:rsidRDefault="008D76C3" w:rsidP="00543265">
      <w:pPr>
        <w:pStyle w:val="BodyText"/>
        <w:ind w:leftChars="200" w:left="420"/>
        <w:rPr>
          <w:rFonts w:ascii="Calibri" w:hAnsi="Calibri"/>
          <w:lang w:val="en-US"/>
        </w:rPr>
      </w:pPr>
      <w:r>
        <w:rPr>
          <w:rFonts w:ascii="Calibri" w:hAnsi="Calibri"/>
        </w:rPr>
        <w:t xml:space="preserve">.2 to propose </w:t>
      </w:r>
      <w:r>
        <w:rPr>
          <w:rFonts w:ascii="Calibri" w:hAnsi="Calibri" w:hint="eastAsia"/>
          <w:lang w:eastAsia="zh-CN"/>
        </w:rPr>
        <w:t>a</w:t>
      </w:r>
      <w:r>
        <w:rPr>
          <w:rFonts w:ascii="Calibri" w:hAnsi="Calibri"/>
        </w:rPr>
        <w:t xml:space="preserve"> </w:t>
      </w:r>
      <w:r>
        <w:rPr>
          <w:rFonts w:ascii="Calibri" w:hAnsi="Calibri" w:hint="eastAsia"/>
          <w:lang w:eastAsia="zh-CN"/>
        </w:rPr>
        <w:t>new</w:t>
      </w:r>
      <w:r>
        <w:rPr>
          <w:rFonts w:ascii="Calibri" w:hAnsi="Calibri"/>
        </w:rPr>
        <w:t xml:space="preserve"> </w:t>
      </w:r>
      <w:r>
        <w:rPr>
          <w:rFonts w:ascii="Calibri" w:hAnsi="Calibri" w:hint="eastAsia"/>
          <w:lang w:eastAsia="zh-CN"/>
        </w:rPr>
        <w:t>guideline</w:t>
      </w:r>
      <w:r>
        <w:rPr>
          <w:rFonts w:ascii="Calibri" w:hAnsi="Calibri"/>
        </w:rPr>
        <w:t xml:space="preserve"> </w:t>
      </w:r>
      <w:r>
        <w:rPr>
          <w:rFonts w:ascii="Calibri" w:hAnsi="Calibri" w:hint="eastAsia"/>
          <w:lang w:eastAsia="zh-CN"/>
        </w:rPr>
        <w:t>of</w:t>
      </w:r>
      <w:r>
        <w:rPr>
          <w:rFonts w:ascii="Calibri" w:hAnsi="Calibri"/>
        </w:rPr>
        <w:t xml:space="preserve"> </w:t>
      </w:r>
      <w:proofErr w:type="gramStart"/>
      <w:r>
        <w:rPr>
          <w:rFonts w:ascii="Calibri" w:hAnsi="Calibri" w:hint="eastAsia"/>
          <w:lang w:val="en-US" w:eastAsia="zh-CN"/>
        </w:rPr>
        <w:t>satellite based</w:t>
      </w:r>
      <w:proofErr w:type="gramEnd"/>
      <w:r>
        <w:rPr>
          <w:rFonts w:ascii="Calibri" w:hAnsi="Calibri" w:hint="eastAsia"/>
          <w:lang w:val="en-US" w:eastAsia="zh-CN"/>
        </w:rPr>
        <w:t xml:space="preserve"> </w:t>
      </w:r>
      <w:r>
        <w:rPr>
          <w:rFonts w:ascii="Calibri" w:hAnsi="Calibri" w:hint="eastAsia"/>
          <w:lang w:eastAsia="zh-CN"/>
        </w:rPr>
        <w:t xml:space="preserve">PPP </w:t>
      </w:r>
      <w:r>
        <w:rPr>
          <w:rFonts w:ascii="Calibri" w:hAnsi="Calibri"/>
          <w:lang w:eastAsia="zh-CN"/>
        </w:rPr>
        <w:t>service</w:t>
      </w:r>
      <w:r>
        <w:rPr>
          <w:rFonts w:ascii="Calibri" w:hAnsi="Calibri" w:hint="eastAsia"/>
          <w:lang w:val="en-US" w:eastAsia="zh-CN"/>
        </w:rPr>
        <w:t xml:space="preserve"> together with other HAS providers</w:t>
      </w:r>
      <w:r w:rsidR="00543265">
        <w:rPr>
          <w:rFonts w:ascii="Calibri" w:hAnsi="Calibri"/>
          <w:lang w:val="en-US" w:eastAsia="zh-CN"/>
        </w:rPr>
        <w:t>.</w:t>
      </w:r>
    </w:p>
    <w:p w14:paraId="03B4F0BF" w14:textId="77777777" w:rsidR="00A051DB" w:rsidRDefault="00A051DB">
      <w:pPr>
        <w:pStyle w:val="BodyText"/>
        <w:rPr>
          <w:rFonts w:ascii="Calibri" w:hAnsi="Calibri"/>
        </w:rPr>
      </w:pPr>
    </w:p>
    <w:p w14:paraId="4F84888E" w14:textId="77777777" w:rsidR="00A051DB" w:rsidRDefault="00A051DB">
      <w:pPr>
        <w:rPr>
          <w:lang w:val="en-GB"/>
        </w:rPr>
      </w:pPr>
    </w:p>
    <w:sectPr w:rsidR="00A051DB" w:rsidSect="0063216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E0B1" w14:textId="77777777" w:rsidR="004C40B6" w:rsidRDefault="004C40B6">
      <w:r>
        <w:separator/>
      </w:r>
    </w:p>
  </w:endnote>
  <w:endnote w:type="continuationSeparator" w:id="0">
    <w:p w14:paraId="70335706" w14:textId="77777777" w:rsidR="004C40B6" w:rsidRDefault="004C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modern"/>
    <w:pitch w:val="fixed"/>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D4A24" w14:textId="77777777" w:rsidR="004C40B6" w:rsidRDefault="004C40B6">
      <w:r>
        <w:separator/>
      </w:r>
    </w:p>
  </w:footnote>
  <w:footnote w:type="continuationSeparator" w:id="0">
    <w:p w14:paraId="7D0B4DD3" w14:textId="77777777" w:rsidR="004C40B6" w:rsidRDefault="004C40B6">
      <w:r>
        <w:continuationSeparator/>
      </w:r>
    </w:p>
  </w:footnote>
  <w:footnote w:id="1">
    <w:p w14:paraId="6F66F63C" w14:textId="77777777" w:rsidR="00A051DB" w:rsidRDefault="008D76C3">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C014E70" w14:textId="77777777" w:rsidR="00A051DB" w:rsidRDefault="008D76C3">
      <w:pPr>
        <w:pStyle w:val="FootnoteText"/>
      </w:pPr>
      <w:r>
        <w:rPr>
          <w:rStyle w:val="FootnoteReference"/>
        </w:rPr>
        <w:footnoteRef/>
      </w:r>
      <w:r>
        <w:t xml:space="preserve"> </w:t>
      </w:r>
      <w:r>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37E91"/>
    <w:multiLevelType w:val="multilevel"/>
    <w:tmpl w:val="56E89A9A"/>
    <w:lvl w:ilvl="0">
      <w:start w:val="1"/>
      <w:numFmt w:val="decimal"/>
      <w:pStyle w:val="Heading1"/>
      <w:lvlText w:val="%1"/>
      <w:lvlJc w:val="left"/>
      <w:pPr>
        <w:tabs>
          <w:tab w:val="left" w:pos="567"/>
        </w:tabs>
        <w:ind w:left="567" w:hanging="567"/>
      </w:pPr>
    </w:lvl>
    <w:lvl w:ilvl="1">
      <w:start w:val="1"/>
      <w:numFmt w:val="decimal"/>
      <w:pStyle w:val="Heading2"/>
      <w:lvlText w:val="%1.%2"/>
      <w:lvlJc w:val="left"/>
      <w:pPr>
        <w:tabs>
          <w:tab w:val="left" w:pos="851"/>
        </w:tabs>
        <w:ind w:left="851" w:hanging="851"/>
      </w:pPr>
      <w:rPr>
        <w:b/>
        <w:bCs/>
        <w:color w:val="0070C0"/>
      </w:rPr>
    </w:lvl>
    <w:lvl w:ilvl="2">
      <w:start w:val="1"/>
      <w:numFmt w:val="decimal"/>
      <w:pStyle w:val="Heading3"/>
      <w:lvlText w:val="%1.%2.%3"/>
      <w:lvlJc w:val="left"/>
      <w:pPr>
        <w:tabs>
          <w:tab w:val="left" w:pos="992"/>
        </w:tabs>
        <w:ind w:left="992" w:hanging="992"/>
      </w:pPr>
    </w:lvl>
    <w:lvl w:ilvl="3">
      <w:start w:val="1"/>
      <w:numFmt w:val="decimal"/>
      <w:pStyle w:val="Heading4"/>
      <w:lvlText w:val="%1.%2.%3.%4"/>
      <w:lvlJc w:val="left"/>
      <w:pPr>
        <w:tabs>
          <w:tab w:val="left" w:pos="1134"/>
        </w:tabs>
        <w:ind w:left="1134" w:hanging="113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 w15:restartNumberingAfterBreak="0">
    <w:nsid w:val="52346BDA"/>
    <w:multiLevelType w:val="multilevel"/>
    <w:tmpl w:val="52346BDA"/>
    <w:lvl w:ilvl="0">
      <w:start w:val="1"/>
      <w:numFmt w:val="bullet"/>
      <w:lvlText w:val=""/>
      <w:lvlJc w:val="left"/>
      <w:pPr>
        <w:ind w:left="420" w:hanging="420"/>
      </w:pPr>
      <w:rPr>
        <w:rFonts w:ascii="Symbol" w:hAnsi="Symbol"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469586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8697365">
    <w:abstractNumId w:val="2"/>
  </w:num>
  <w:num w:numId="3" w16cid:durableId="10099150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1MDUzZDM3ZDA3OWEwMDMzNjNmZmM4N2QxM2Q4YjYifQ=="/>
  </w:docVars>
  <w:rsids>
    <w:rsidRoot w:val="00743ED1"/>
    <w:rsid w:val="000150EA"/>
    <w:rsid w:val="00053947"/>
    <w:rsid w:val="00054D0B"/>
    <w:rsid w:val="0005517F"/>
    <w:rsid w:val="0006091F"/>
    <w:rsid w:val="00066A91"/>
    <w:rsid w:val="00071923"/>
    <w:rsid w:val="00077A45"/>
    <w:rsid w:val="000A7C04"/>
    <w:rsid w:val="000F405A"/>
    <w:rsid w:val="00110091"/>
    <w:rsid w:val="00140643"/>
    <w:rsid w:val="0017528C"/>
    <w:rsid w:val="00185A8A"/>
    <w:rsid w:val="00187656"/>
    <w:rsid w:val="001A3174"/>
    <w:rsid w:val="001B4B6A"/>
    <w:rsid w:val="001C7B00"/>
    <w:rsid w:val="001E66F0"/>
    <w:rsid w:val="00233F1B"/>
    <w:rsid w:val="002C395E"/>
    <w:rsid w:val="002D4A6F"/>
    <w:rsid w:val="00304FA0"/>
    <w:rsid w:val="00310E3A"/>
    <w:rsid w:val="00322B14"/>
    <w:rsid w:val="00324B7E"/>
    <w:rsid w:val="0033562B"/>
    <w:rsid w:val="0038744B"/>
    <w:rsid w:val="003C25D7"/>
    <w:rsid w:val="003D0CFA"/>
    <w:rsid w:val="004014C4"/>
    <w:rsid w:val="0047706D"/>
    <w:rsid w:val="00483C96"/>
    <w:rsid w:val="00490AF6"/>
    <w:rsid w:val="00492E18"/>
    <w:rsid w:val="0049773D"/>
    <w:rsid w:val="004C40B6"/>
    <w:rsid w:val="004F614C"/>
    <w:rsid w:val="00543265"/>
    <w:rsid w:val="00564F74"/>
    <w:rsid w:val="00565CD4"/>
    <w:rsid w:val="005C5FC4"/>
    <w:rsid w:val="005F60C8"/>
    <w:rsid w:val="00601087"/>
    <w:rsid w:val="0061052D"/>
    <w:rsid w:val="00632161"/>
    <w:rsid w:val="006C72A4"/>
    <w:rsid w:val="00701813"/>
    <w:rsid w:val="007224DA"/>
    <w:rsid w:val="00743ED1"/>
    <w:rsid w:val="00752068"/>
    <w:rsid w:val="00780487"/>
    <w:rsid w:val="007A447B"/>
    <w:rsid w:val="00804089"/>
    <w:rsid w:val="0082027B"/>
    <w:rsid w:val="0082369C"/>
    <w:rsid w:val="008812F0"/>
    <w:rsid w:val="008908AE"/>
    <w:rsid w:val="008A0749"/>
    <w:rsid w:val="008A7569"/>
    <w:rsid w:val="008D105A"/>
    <w:rsid w:val="008D4136"/>
    <w:rsid w:val="008D76C3"/>
    <w:rsid w:val="0091407B"/>
    <w:rsid w:val="00923014"/>
    <w:rsid w:val="00950C51"/>
    <w:rsid w:val="009671DB"/>
    <w:rsid w:val="00970C66"/>
    <w:rsid w:val="00991631"/>
    <w:rsid w:val="009F4DEB"/>
    <w:rsid w:val="00A051DB"/>
    <w:rsid w:val="00A26AB4"/>
    <w:rsid w:val="00A55D0C"/>
    <w:rsid w:val="00A7649C"/>
    <w:rsid w:val="00A80DCC"/>
    <w:rsid w:val="00AA013F"/>
    <w:rsid w:val="00AA50E5"/>
    <w:rsid w:val="00B262AA"/>
    <w:rsid w:val="00B47201"/>
    <w:rsid w:val="00B8580A"/>
    <w:rsid w:val="00BC64AE"/>
    <w:rsid w:val="00BF5865"/>
    <w:rsid w:val="00C15C75"/>
    <w:rsid w:val="00C47BB5"/>
    <w:rsid w:val="00C50482"/>
    <w:rsid w:val="00C8200E"/>
    <w:rsid w:val="00C86509"/>
    <w:rsid w:val="00CC013B"/>
    <w:rsid w:val="00CD4599"/>
    <w:rsid w:val="00CF294C"/>
    <w:rsid w:val="00D17232"/>
    <w:rsid w:val="00D44403"/>
    <w:rsid w:val="00D92B71"/>
    <w:rsid w:val="00DB5D6E"/>
    <w:rsid w:val="00DB60F4"/>
    <w:rsid w:val="00DC2BF5"/>
    <w:rsid w:val="00DC317A"/>
    <w:rsid w:val="00DE2471"/>
    <w:rsid w:val="00E428DC"/>
    <w:rsid w:val="00E44F5D"/>
    <w:rsid w:val="00E55CCA"/>
    <w:rsid w:val="00F04108"/>
    <w:rsid w:val="00F1616A"/>
    <w:rsid w:val="00FB5AEB"/>
    <w:rsid w:val="00FC3D06"/>
    <w:rsid w:val="00FD02C7"/>
    <w:rsid w:val="00FD71C6"/>
    <w:rsid w:val="00FE06F5"/>
    <w:rsid w:val="00FF00AE"/>
    <w:rsid w:val="45682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C26AF"/>
  <w15:docId w15:val="{1EAED3E7-C774-4E97-BE44-5E157E3F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uiPriority="0"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BodyText"/>
    <w:link w:val="Heading1Char"/>
    <w:qFormat/>
    <w:pPr>
      <w:keepNext/>
      <w:widowControl/>
      <w:numPr>
        <w:numId w:val="1"/>
      </w:numPr>
      <w:spacing w:before="240" w:after="240"/>
      <w:jc w:val="left"/>
      <w:outlineLvl w:val="0"/>
    </w:pPr>
    <w:rPr>
      <w:rFonts w:ascii="Calibri" w:eastAsia="SimSun" w:hAnsi="Calibri" w:cs="Calibri"/>
      <w:b/>
      <w:caps/>
      <w:color w:val="0070C0"/>
      <w:kern w:val="28"/>
      <w:sz w:val="24"/>
      <w:lang w:val="en-GB" w:eastAsia="de-DE"/>
    </w:rPr>
  </w:style>
  <w:style w:type="paragraph" w:styleId="Heading2">
    <w:name w:val="heading 2"/>
    <w:basedOn w:val="Normal"/>
    <w:next w:val="BodyText"/>
    <w:link w:val="Heading2Char"/>
    <w:unhideWhenUsed/>
    <w:qFormat/>
    <w:pPr>
      <w:widowControl/>
      <w:numPr>
        <w:ilvl w:val="1"/>
        <w:numId w:val="1"/>
      </w:numPr>
      <w:spacing w:before="120" w:after="120"/>
      <w:jc w:val="left"/>
      <w:outlineLvl w:val="1"/>
    </w:pPr>
    <w:rPr>
      <w:rFonts w:ascii="Calibri" w:eastAsia="SimSun" w:hAnsi="Calibri" w:cs="Calibri"/>
      <w:b/>
      <w:color w:val="0070C0"/>
      <w:kern w:val="0"/>
      <w:sz w:val="24"/>
      <w:szCs w:val="24"/>
      <w:lang w:val="en-GB" w:eastAsia="en-GB"/>
    </w:rPr>
  </w:style>
  <w:style w:type="paragraph" w:styleId="Heading3">
    <w:name w:val="heading 3"/>
    <w:basedOn w:val="Normal"/>
    <w:next w:val="BodyText"/>
    <w:link w:val="Heading3Char"/>
    <w:unhideWhenUsed/>
    <w:qFormat/>
    <w:pPr>
      <w:keepNext/>
      <w:widowControl/>
      <w:numPr>
        <w:ilvl w:val="2"/>
        <w:numId w:val="1"/>
      </w:numPr>
      <w:spacing w:before="120" w:after="120"/>
      <w:jc w:val="left"/>
      <w:outlineLvl w:val="2"/>
    </w:pPr>
    <w:rPr>
      <w:rFonts w:ascii="Arial" w:eastAsia="SimSun" w:hAnsi="Arial" w:cs="Calibri"/>
      <w:kern w:val="0"/>
      <w:sz w:val="22"/>
      <w:szCs w:val="20"/>
      <w:lang w:val="en-GB" w:eastAsia="de-DE"/>
    </w:rPr>
  </w:style>
  <w:style w:type="paragraph" w:styleId="Heading4">
    <w:name w:val="heading 4"/>
    <w:basedOn w:val="Normal"/>
    <w:next w:val="BodyTextIndent"/>
    <w:link w:val="Heading4Char"/>
    <w:unhideWhenUsed/>
    <w:qFormat/>
    <w:pPr>
      <w:keepNext/>
      <w:widowControl/>
      <w:numPr>
        <w:ilvl w:val="3"/>
        <w:numId w:val="1"/>
      </w:numPr>
      <w:spacing w:before="120" w:after="120"/>
      <w:jc w:val="left"/>
      <w:outlineLvl w:val="3"/>
    </w:pPr>
    <w:rPr>
      <w:rFonts w:ascii="Arial" w:eastAsia="SimSun" w:hAnsi="Arial" w:cs="Calibri"/>
      <w:kern w:val="0"/>
      <w:sz w:val="22"/>
      <w:szCs w:val="20"/>
      <w:lang w:eastAsia="de-DE"/>
    </w:rPr>
  </w:style>
  <w:style w:type="paragraph" w:styleId="Heading5">
    <w:name w:val="heading 5"/>
    <w:basedOn w:val="Normal"/>
    <w:next w:val="Normal"/>
    <w:link w:val="Heading5Char"/>
    <w:unhideWhenUsed/>
    <w:qFormat/>
    <w:pPr>
      <w:widowControl/>
      <w:numPr>
        <w:ilvl w:val="4"/>
        <w:numId w:val="1"/>
      </w:numPr>
      <w:spacing w:before="240" w:after="120"/>
      <w:jc w:val="left"/>
      <w:outlineLvl w:val="4"/>
    </w:pPr>
    <w:rPr>
      <w:rFonts w:ascii="Arial" w:eastAsia="Times New Roman" w:hAnsi="Arial" w:cs="Times New Roman"/>
      <w:kern w:val="0"/>
      <w:sz w:val="22"/>
      <w:szCs w:val="20"/>
      <w:lang w:val="de-DE" w:eastAsia="de-DE"/>
    </w:rPr>
  </w:style>
  <w:style w:type="paragraph" w:styleId="Heading6">
    <w:name w:val="heading 6"/>
    <w:basedOn w:val="Normal"/>
    <w:next w:val="BodyTextIndent2"/>
    <w:link w:val="Heading6Char"/>
    <w:unhideWhenUsed/>
    <w:qFormat/>
    <w:pPr>
      <w:widowControl/>
      <w:numPr>
        <w:ilvl w:val="5"/>
        <w:numId w:val="1"/>
      </w:numPr>
      <w:tabs>
        <w:tab w:val="left" w:pos="1418"/>
      </w:tabs>
      <w:spacing w:before="120" w:after="120"/>
      <w:jc w:val="left"/>
      <w:outlineLvl w:val="5"/>
    </w:pPr>
    <w:rPr>
      <w:rFonts w:ascii="Arial" w:eastAsia="SimSun" w:hAnsi="Arial" w:cs="Calibri"/>
      <w:kern w:val="0"/>
      <w:sz w:val="22"/>
      <w:szCs w:val="20"/>
      <w:lang w:val="de-DE" w:eastAsia="de-DE"/>
    </w:rPr>
  </w:style>
  <w:style w:type="paragraph" w:styleId="Heading7">
    <w:name w:val="heading 7"/>
    <w:basedOn w:val="Normal"/>
    <w:next w:val="BodyTextIndent2"/>
    <w:link w:val="Heading7Char"/>
    <w:unhideWhenUsed/>
    <w:qFormat/>
    <w:pPr>
      <w:widowControl/>
      <w:numPr>
        <w:ilvl w:val="6"/>
        <w:numId w:val="1"/>
      </w:numPr>
      <w:tabs>
        <w:tab w:val="left" w:pos="1701"/>
      </w:tabs>
      <w:spacing w:before="120" w:after="120"/>
      <w:jc w:val="left"/>
      <w:outlineLvl w:val="6"/>
    </w:pPr>
    <w:rPr>
      <w:rFonts w:ascii="Arial" w:eastAsia="SimSun" w:hAnsi="Arial" w:cs="Calibri"/>
      <w:kern w:val="0"/>
      <w:sz w:val="22"/>
      <w:szCs w:val="20"/>
      <w:lang w:val="de-DE" w:eastAsia="de-DE"/>
    </w:rPr>
  </w:style>
  <w:style w:type="paragraph" w:styleId="Heading8">
    <w:name w:val="heading 8"/>
    <w:basedOn w:val="Normal"/>
    <w:next w:val="BodyTextIndent2"/>
    <w:link w:val="Heading8Char"/>
    <w:unhideWhenUsed/>
    <w:qFormat/>
    <w:pPr>
      <w:widowControl/>
      <w:numPr>
        <w:ilvl w:val="7"/>
        <w:numId w:val="1"/>
      </w:numPr>
      <w:tabs>
        <w:tab w:val="left" w:pos="1985"/>
      </w:tabs>
      <w:spacing w:before="120" w:after="120"/>
      <w:jc w:val="left"/>
      <w:outlineLvl w:val="7"/>
    </w:pPr>
    <w:rPr>
      <w:rFonts w:ascii="Arial" w:eastAsia="SimSun" w:hAnsi="Arial" w:cs="Calibri"/>
      <w:kern w:val="0"/>
      <w:sz w:val="22"/>
      <w:szCs w:val="20"/>
      <w:lang w:val="de-DE" w:eastAsia="de-DE"/>
    </w:rPr>
  </w:style>
  <w:style w:type="paragraph" w:styleId="Heading9">
    <w:name w:val="heading 9"/>
    <w:basedOn w:val="Normal"/>
    <w:next w:val="BodyTextIndent2"/>
    <w:link w:val="Heading9Char"/>
    <w:unhideWhenUsed/>
    <w:qFormat/>
    <w:pPr>
      <w:widowControl/>
      <w:numPr>
        <w:ilvl w:val="8"/>
        <w:numId w:val="1"/>
      </w:numPr>
      <w:tabs>
        <w:tab w:val="left" w:pos="2268"/>
      </w:tabs>
      <w:spacing w:before="120" w:after="120"/>
      <w:jc w:val="left"/>
      <w:outlineLvl w:val="8"/>
    </w:pPr>
    <w:rPr>
      <w:rFonts w:ascii="Arial" w:eastAsia="SimSun" w:hAnsi="Arial" w:cs="Calibri"/>
      <w:kern w:val="0"/>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widowControl/>
      <w:spacing w:after="120"/>
    </w:pPr>
    <w:rPr>
      <w:rFonts w:ascii="Arial" w:eastAsia="SimSun" w:hAnsi="Arial" w:cs="Calibri"/>
      <w:kern w:val="0"/>
      <w:sz w:val="22"/>
      <w:lang w:val="en-GB" w:eastAsia="en-GB"/>
    </w:rPr>
  </w:style>
  <w:style w:type="paragraph" w:styleId="BodyTextIndent">
    <w:name w:val="Body Text Indent"/>
    <w:basedOn w:val="Normal"/>
    <w:link w:val="BodyTextIndentChar"/>
    <w:uiPriority w:val="99"/>
    <w:semiHidden/>
    <w:unhideWhenUsed/>
    <w:qFormat/>
    <w:pPr>
      <w:spacing w:after="120"/>
      <w:ind w:leftChars="200" w:left="420"/>
    </w:pPr>
  </w:style>
  <w:style w:type="paragraph" w:styleId="BodyTextIndent2">
    <w:name w:val="Body Text Indent 2"/>
    <w:basedOn w:val="Normal"/>
    <w:link w:val="BodyTextIndent2Char"/>
    <w:uiPriority w:val="99"/>
    <w:semiHidden/>
    <w:unhideWhenUsed/>
    <w:pPr>
      <w:spacing w:after="120" w:line="480" w:lineRule="auto"/>
      <w:ind w:leftChars="200" w:left="420"/>
    </w:pPr>
  </w:style>
  <w:style w:type="paragraph" w:styleId="Caption">
    <w:name w:val="caption"/>
    <w:basedOn w:val="Normal"/>
    <w:next w:val="Normal"/>
    <w:uiPriority w:val="35"/>
    <w:qFormat/>
    <w:rPr>
      <w:rFonts w:ascii="DengXian Light" w:eastAsia="SimHei" w:hAnsi="DengXian Light" w:cs="Times New Roman"/>
      <w:sz w:val="20"/>
      <w:szCs w:val="20"/>
    </w:rPr>
  </w:style>
  <w:style w:type="paragraph" w:styleId="Date">
    <w:name w:val="Date"/>
    <w:basedOn w:val="Normal"/>
    <w:next w:val="Normal"/>
    <w:link w:val="DateChar"/>
    <w:uiPriority w:val="99"/>
    <w:semiHidden/>
    <w:unhideWhenUsed/>
    <w:qFormat/>
    <w:pPr>
      <w:ind w:leftChars="2500" w:left="100"/>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nhideWhenUsed/>
    <w:pPr>
      <w:widowControl/>
      <w:tabs>
        <w:tab w:val="center" w:pos="4820"/>
        <w:tab w:val="right" w:pos="9639"/>
      </w:tabs>
      <w:jc w:val="left"/>
    </w:pPr>
    <w:rPr>
      <w:rFonts w:ascii="Arial" w:eastAsia="SimSun" w:hAnsi="Arial" w:cs="Calibri"/>
      <w:kern w:val="0"/>
      <w:sz w:val="22"/>
      <w:lang w:val="en-GB" w:eastAsia="en-GB"/>
    </w:rPr>
  </w:style>
  <w:style w:type="paragraph" w:styleId="FootnoteText">
    <w:name w:val="footnote text"/>
    <w:basedOn w:val="Normal"/>
    <w:link w:val="FootnoteTextChar"/>
    <w:semiHidden/>
    <w:unhideWhenUsed/>
    <w:qFormat/>
    <w:pPr>
      <w:widowControl/>
      <w:jc w:val="left"/>
    </w:pPr>
    <w:rPr>
      <w:rFonts w:ascii="Arial" w:eastAsia="SimSun" w:hAnsi="Arial" w:cs="Calibri"/>
      <w:kern w:val="0"/>
      <w:sz w:val="20"/>
      <w:szCs w:val="20"/>
      <w:lang w:val="en-GB" w:eastAsia="en-GB"/>
    </w:rPr>
  </w:style>
  <w:style w:type="paragraph" w:styleId="Title">
    <w:name w:val="Title"/>
    <w:basedOn w:val="Normal"/>
    <w:link w:val="TitleChar"/>
    <w:qFormat/>
    <w:pPr>
      <w:widowControl/>
      <w:spacing w:before="120" w:after="240"/>
      <w:jc w:val="center"/>
      <w:outlineLvl w:val="0"/>
    </w:pPr>
    <w:rPr>
      <w:rFonts w:ascii="Arial" w:eastAsia="SimSun" w:hAnsi="Arial" w:cs="Arial"/>
      <w:b/>
      <w:bCs/>
      <w:kern w:val="28"/>
      <w:sz w:val="32"/>
      <w:szCs w:val="32"/>
      <w:lang w:val="en-GB" w:eastAsia="en-GB"/>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563C1" w:themeColor="hyperlink"/>
      <w:u w:val="single"/>
    </w:rPr>
  </w:style>
  <w:style w:type="character" w:styleId="FootnoteReference">
    <w:name w:val="footnote reference"/>
    <w:semiHidden/>
    <w:unhideWhenUsed/>
    <w:rPr>
      <w:rFonts w:ascii="Arial" w:hAnsi="Arial" w:cs="Arial" w:hint="default"/>
      <w:sz w:val="16"/>
    </w:rPr>
  </w:style>
  <w:style w:type="character" w:customStyle="1" w:styleId="BalloonTextChar">
    <w:name w:val="Balloon Text Char"/>
    <w:basedOn w:val="DefaultParagraphFont"/>
    <w:link w:val="BalloonText"/>
    <w:uiPriority w:val="99"/>
    <w:semiHidden/>
    <w:rPr>
      <w:sz w:val="18"/>
      <w:szCs w:val="18"/>
    </w:rPr>
  </w:style>
  <w:style w:type="character" w:customStyle="1" w:styleId="Heading1Char">
    <w:name w:val="Heading 1 Char"/>
    <w:basedOn w:val="DefaultParagraphFont"/>
    <w:link w:val="Heading1"/>
    <w:rPr>
      <w:rFonts w:ascii="Calibri" w:eastAsia="SimSun" w:hAnsi="Calibri" w:cs="Calibri"/>
      <w:b/>
      <w:caps/>
      <w:color w:val="0070C0"/>
      <w:kern w:val="28"/>
      <w:sz w:val="24"/>
      <w:lang w:val="en-GB" w:eastAsia="de-DE"/>
    </w:rPr>
  </w:style>
  <w:style w:type="character" w:customStyle="1" w:styleId="Heading2Char">
    <w:name w:val="Heading 2 Char"/>
    <w:basedOn w:val="DefaultParagraphFont"/>
    <w:link w:val="Heading2"/>
    <w:semiHidden/>
    <w:qFormat/>
    <w:rPr>
      <w:rFonts w:ascii="Calibri" w:eastAsia="SimSun" w:hAnsi="Calibri" w:cs="Calibri"/>
      <w:b/>
      <w:color w:val="0070C0"/>
      <w:kern w:val="0"/>
      <w:sz w:val="24"/>
      <w:szCs w:val="24"/>
      <w:lang w:val="en-GB" w:eastAsia="en-GB"/>
    </w:rPr>
  </w:style>
  <w:style w:type="character" w:customStyle="1" w:styleId="Heading3Char">
    <w:name w:val="Heading 3 Char"/>
    <w:basedOn w:val="DefaultParagraphFont"/>
    <w:link w:val="Heading3"/>
    <w:semiHidden/>
    <w:qFormat/>
    <w:rPr>
      <w:rFonts w:ascii="Arial" w:eastAsia="SimSun" w:hAnsi="Arial" w:cs="Calibri"/>
      <w:kern w:val="0"/>
      <w:sz w:val="22"/>
      <w:szCs w:val="20"/>
      <w:lang w:val="en-GB" w:eastAsia="de-DE"/>
    </w:rPr>
  </w:style>
  <w:style w:type="character" w:customStyle="1" w:styleId="Heading4Char">
    <w:name w:val="Heading 4 Char"/>
    <w:basedOn w:val="DefaultParagraphFont"/>
    <w:link w:val="Heading4"/>
    <w:semiHidden/>
    <w:qFormat/>
    <w:rPr>
      <w:rFonts w:ascii="Arial" w:eastAsia="SimSun" w:hAnsi="Arial" w:cs="Calibri"/>
      <w:kern w:val="0"/>
      <w:sz w:val="22"/>
      <w:szCs w:val="20"/>
      <w:lang w:eastAsia="de-DE"/>
    </w:rPr>
  </w:style>
  <w:style w:type="character" w:customStyle="1" w:styleId="Heading5Char">
    <w:name w:val="Heading 5 Char"/>
    <w:basedOn w:val="DefaultParagraphFont"/>
    <w:link w:val="Heading5"/>
    <w:semiHidden/>
    <w:qFormat/>
    <w:rPr>
      <w:rFonts w:ascii="Arial" w:eastAsia="Times New Roman" w:hAnsi="Arial" w:cs="Times New Roman"/>
      <w:kern w:val="0"/>
      <w:sz w:val="22"/>
      <w:szCs w:val="20"/>
      <w:lang w:val="de-DE" w:eastAsia="de-DE"/>
    </w:rPr>
  </w:style>
  <w:style w:type="character" w:customStyle="1" w:styleId="Heading6Char">
    <w:name w:val="Heading 6 Char"/>
    <w:basedOn w:val="DefaultParagraphFont"/>
    <w:link w:val="Heading6"/>
    <w:semiHidden/>
    <w:rPr>
      <w:rFonts w:ascii="Arial" w:eastAsia="SimSun" w:hAnsi="Arial" w:cs="Calibri"/>
      <w:kern w:val="0"/>
      <w:sz w:val="22"/>
      <w:szCs w:val="20"/>
      <w:lang w:val="de-DE" w:eastAsia="de-DE"/>
    </w:rPr>
  </w:style>
  <w:style w:type="character" w:customStyle="1" w:styleId="Heading7Char">
    <w:name w:val="Heading 7 Char"/>
    <w:basedOn w:val="DefaultParagraphFont"/>
    <w:link w:val="Heading7"/>
    <w:semiHidden/>
    <w:rPr>
      <w:rFonts w:ascii="Arial" w:eastAsia="SimSun" w:hAnsi="Arial" w:cs="Calibri"/>
      <w:kern w:val="0"/>
      <w:sz w:val="22"/>
      <w:szCs w:val="20"/>
      <w:lang w:val="de-DE" w:eastAsia="de-DE"/>
    </w:rPr>
  </w:style>
  <w:style w:type="character" w:customStyle="1" w:styleId="Heading8Char">
    <w:name w:val="Heading 8 Char"/>
    <w:basedOn w:val="DefaultParagraphFont"/>
    <w:link w:val="Heading8"/>
    <w:semiHidden/>
    <w:rPr>
      <w:rFonts w:ascii="Arial" w:eastAsia="SimSun" w:hAnsi="Arial" w:cs="Calibri"/>
      <w:kern w:val="0"/>
      <w:sz w:val="22"/>
      <w:szCs w:val="20"/>
      <w:lang w:val="de-DE" w:eastAsia="de-DE"/>
    </w:rPr>
  </w:style>
  <w:style w:type="character" w:customStyle="1" w:styleId="Heading9Char">
    <w:name w:val="Heading 9 Char"/>
    <w:basedOn w:val="DefaultParagraphFont"/>
    <w:link w:val="Heading9"/>
    <w:semiHidden/>
    <w:qFormat/>
    <w:rPr>
      <w:rFonts w:ascii="Arial" w:eastAsia="SimSun" w:hAnsi="Arial" w:cs="Calibri"/>
      <w:kern w:val="0"/>
      <w:sz w:val="22"/>
      <w:szCs w:val="20"/>
      <w:lang w:val="de-DE" w:eastAsia="de-DE"/>
    </w:rPr>
  </w:style>
  <w:style w:type="character" w:customStyle="1" w:styleId="BodyTextChar">
    <w:name w:val="Body Text Char"/>
    <w:basedOn w:val="DefaultParagraphFont"/>
    <w:link w:val="BodyText"/>
    <w:qFormat/>
    <w:rPr>
      <w:rFonts w:ascii="Arial" w:eastAsia="SimSun" w:hAnsi="Arial" w:cs="Calibri"/>
      <w:kern w:val="0"/>
      <w:sz w:val="22"/>
      <w:lang w:val="en-GB" w:eastAsia="en-GB"/>
    </w:rPr>
  </w:style>
  <w:style w:type="character" w:customStyle="1" w:styleId="FootnoteTextChar">
    <w:name w:val="Footnote Text Char"/>
    <w:basedOn w:val="DefaultParagraphFont"/>
    <w:link w:val="FootnoteText"/>
    <w:semiHidden/>
    <w:qFormat/>
    <w:rPr>
      <w:rFonts w:ascii="Arial" w:eastAsia="SimSun" w:hAnsi="Arial" w:cs="Calibri"/>
      <w:kern w:val="0"/>
      <w:sz w:val="20"/>
      <w:szCs w:val="20"/>
      <w:lang w:val="en-GB" w:eastAsia="en-GB"/>
    </w:rPr>
  </w:style>
  <w:style w:type="character" w:customStyle="1" w:styleId="HeaderChar">
    <w:name w:val="Header Char"/>
    <w:basedOn w:val="DefaultParagraphFont"/>
    <w:link w:val="Header"/>
    <w:rPr>
      <w:rFonts w:ascii="Arial" w:eastAsia="SimSun" w:hAnsi="Arial" w:cs="Calibri"/>
      <w:kern w:val="0"/>
      <w:sz w:val="22"/>
      <w:lang w:val="en-GB" w:eastAsia="en-GB"/>
    </w:rPr>
  </w:style>
  <w:style w:type="character" w:customStyle="1" w:styleId="TitleChar">
    <w:name w:val="Title Char"/>
    <w:basedOn w:val="DefaultParagraphFont"/>
    <w:link w:val="Title"/>
    <w:qFormat/>
    <w:rPr>
      <w:rFonts w:ascii="Arial" w:eastAsia="SimSun" w:hAnsi="Arial" w:cs="Arial"/>
      <w:b/>
      <w:bCs/>
      <w:kern w:val="28"/>
      <w:sz w:val="32"/>
      <w:szCs w:val="32"/>
      <w:lang w:val="en-GB" w:eastAsia="en-GB"/>
    </w:rPr>
  </w:style>
  <w:style w:type="paragraph" w:customStyle="1" w:styleId="Figure">
    <w:name w:val="Figure_#"/>
    <w:basedOn w:val="Normal"/>
    <w:next w:val="Normal"/>
    <w:qFormat/>
    <w:pPr>
      <w:widowControl/>
      <w:spacing w:before="120" w:after="120"/>
      <w:jc w:val="center"/>
    </w:pPr>
    <w:rPr>
      <w:rFonts w:ascii="Arial" w:eastAsia="SimSun" w:hAnsi="Arial" w:cs="Calibri"/>
      <w:i/>
      <w:kern w:val="0"/>
      <w:sz w:val="22"/>
      <w:szCs w:val="20"/>
      <w:lang w:val="en-GB" w:eastAsia="en-GB"/>
    </w:rPr>
  </w:style>
  <w:style w:type="character" w:customStyle="1" w:styleId="BodyTextIndentChar">
    <w:name w:val="Body Text Indent Char"/>
    <w:basedOn w:val="DefaultParagraphFont"/>
    <w:link w:val="BodyTextIndent"/>
    <w:uiPriority w:val="99"/>
    <w:semiHidden/>
    <w:qFormat/>
  </w:style>
  <w:style w:type="character" w:customStyle="1" w:styleId="BodyTextIndent2Char">
    <w:name w:val="Body Text Indent 2 Char"/>
    <w:basedOn w:val="DefaultParagraphFont"/>
    <w:link w:val="BodyTextIndent2"/>
    <w:uiPriority w:val="99"/>
    <w:semiHidden/>
    <w:qFormat/>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Style38">
    <w:name w:val="_Style 38"/>
    <w:basedOn w:val="Normal"/>
    <w:next w:val="ListParagraph"/>
    <w:uiPriority w:val="34"/>
    <w:qFormat/>
    <w:pPr>
      <w:ind w:firstLineChars="200" w:firstLine="420"/>
    </w:pPr>
    <w:rPr>
      <w:rFonts w:ascii="Calibri" w:eastAsia="SimSun" w:hAnsi="Calibri" w:cs="Times New Roman"/>
    </w:rPr>
  </w:style>
  <w:style w:type="paragraph" w:styleId="ListParagraph">
    <w:name w:val="List Paragraph"/>
    <w:basedOn w:val="Normal"/>
    <w:uiPriority w:val="34"/>
    <w:qFormat/>
    <w:pPr>
      <w:ind w:firstLineChars="200" w:firstLine="420"/>
    </w:pPr>
  </w:style>
  <w:style w:type="character" w:customStyle="1" w:styleId="FooterChar">
    <w:name w:val="Footer Char"/>
    <w:basedOn w:val="DefaultParagraphFont"/>
    <w:link w:val="Footer"/>
    <w:uiPriority w:val="99"/>
    <w:rPr>
      <w:sz w:val="18"/>
      <w:szCs w:val="18"/>
    </w:rPr>
  </w:style>
  <w:style w:type="character" w:customStyle="1" w:styleId="DateChar">
    <w:name w:val="Date Char"/>
    <w:basedOn w:val="DefaultParagraphFont"/>
    <w:link w:val="Date"/>
    <w:uiPriority w:val="99"/>
    <w:semiHidden/>
    <w:qFormat/>
  </w:style>
  <w:style w:type="character" w:customStyle="1" w:styleId="1">
    <w:name w:val="未处理的提及1"/>
    <w:basedOn w:val="DefaultParagraphFont"/>
    <w:uiPriority w:val="99"/>
    <w:semiHidden/>
    <w:unhideWhenUsed/>
    <w:qFormat/>
    <w:rPr>
      <w:color w:val="605E5C"/>
      <w:shd w:val="clear" w:color="auto" w:fill="E1DFDD"/>
    </w:rPr>
  </w:style>
  <w:style w:type="character" w:customStyle="1" w:styleId="font21">
    <w:name w:val="font21"/>
    <w:basedOn w:val="DefaultParagraphFont"/>
    <w:rPr>
      <w:rFonts w:ascii="Times New Roman" w:hAnsi="Times New Roman" w:cs="Times New Roman" w:hint="default"/>
      <w:b/>
      <w:bCs/>
      <w:color w:val="000000"/>
      <w:sz w:val="26"/>
      <w:szCs w:val="26"/>
      <w:u w:val="none"/>
    </w:rPr>
  </w:style>
  <w:style w:type="character" w:customStyle="1" w:styleId="font31">
    <w:name w:val="font31"/>
    <w:basedOn w:val="DefaultParagraphFont"/>
    <w:qFormat/>
    <w:rPr>
      <w:rFonts w:ascii="Times New Roman" w:hAnsi="Times New Roman" w:cs="Times New Roman" w:hint="default"/>
      <w:color w:val="000000"/>
      <w:sz w:val="26"/>
      <w:szCs w:val="26"/>
      <w:u w:val="none"/>
    </w:rPr>
  </w:style>
  <w:style w:type="paragraph" w:customStyle="1" w:styleId="Other1">
    <w:name w:val="Other|1"/>
    <w:basedOn w:val="Normal"/>
    <w:qFormat/>
    <w:pPr>
      <w:jc w:val="center"/>
    </w:pPr>
    <w:rPr>
      <w:rFonts w:ascii="Times New Roman" w:eastAsia="SimSun" w:hAnsi="Times New Roman" w:cs="Times New Roman"/>
      <w:color w:val="000000"/>
      <w:kern w:val="0"/>
      <w:sz w:val="22"/>
    </w:rPr>
  </w:style>
  <w:style w:type="paragraph" w:customStyle="1" w:styleId="10">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idou.gov.cn/xt/gfxz/202105/P020210526216231136238.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D0148-B85C-4537-B4C6-46A7139F20B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099046B-1EB1-4968-9F27-8D02B4FAD186}">
  <ds:schemaRefs>
    <ds:schemaRef ds:uri="http://schemas.microsoft.com/sharepoint/v3/contenttype/forms"/>
  </ds:schemaRefs>
</ds:datastoreItem>
</file>

<file path=customXml/itemProps3.xml><?xml version="1.0" encoding="utf-8"?>
<ds:datastoreItem xmlns:ds="http://schemas.openxmlformats.org/officeDocument/2006/customXml" ds:itemID="{26D8779B-3A0F-487E-8F87-7976B1D4C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A8B6FB-E58A-4825-AB75-C69563C5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1404</Words>
  <Characters>8008</Characters>
  <Application>Microsoft Office Word</Application>
  <DocSecurity>0</DocSecurity>
  <Lines>66</Lines>
  <Paragraphs>18</Paragraphs>
  <ScaleCrop>false</ScaleCrop>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Houlu</dc:creator>
  <cp:lastModifiedBy>Jaime Alvarez</cp:lastModifiedBy>
  <cp:revision>24</cp:revision>
  <dcterms:created xsi:type="dcterms:W3CDTF">2022-02-11T07:15:00Z</dcterms:created>
  <dcterms:modified xsi:type="dcterms:W3CDTF">2022-09-27T13:16:00Z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2052-11.1.0.12302</vt:lpwstr>
  </property>
  <property fmtid="{D5CDD505-2E9C-101B-9397-08002B2CF9AE}" pid="4" name="ICV">
    <vt:lpwstr>2412F24B4E4A4D749F2000FC5BFCDA10</vt:lpwstr>
  </property>
  <property fmtid="{D5CDD505-2E9C-101B-9397-08002B2CF9AE}" pid="5" name="MediaServiceImageTags">
    <vt:lpwstr/>
  </property>
</Properties>
</file>